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PADER Safety Analysis Report</w:t>
      </w:r>
    </w:p>
    <w:p>
      <w:pPr>
        <w:spacing w:after="280"/>
        <w:jc w:val="center"/>
      </w:pPr>
      <w:r>
        <w:rPr>
          <w:rFonts w:ascii="Arial" w:hAnsi="Arial"/>
          <w:i/>
          <w:sz w:val="19"/>
        </w:rPr>
        <w:t>AI-Assisted Deterministic Analysis and Evidence-Grounded Reporting</w:t>
      </w:r>
    </w:p>
    <w:p>
      <w:pPr>
        <w:pStyle w:val="Heading1"/>
      </w:pPr>
      <w:r>
        <w:t>Periodic Adverse Event Data Report</w:t>
      </w:r>
    </w:p>
    <w:p>
      <w:r>
        <w:t>Product: Bisoprolol Report Type: PADER-style Periodic Adverse Event Data Report Reporting Period: 2024-12-27 to 2025-12-26</w:t>
      </w:r>
    </w:p>
    <w:p>
      <w:r>
        <w:t>This report was generated from deterministic analyses, registered evidence, and section-specific LLM outputs. The raw dataset is not provided directly to the LLM.</w:t>
      </w:r>
    </w:p>
    <w:p>
      <w:pPr>
        <w:spacing w:before="40" w:after="160"/>
      </w:pPr>
      <w:r>
        <w:rPr>
          <w:sz w:val="14"/>
        </w:rPr>
        <w:t>────────────────────────────────────────────────────────────────────────────────</w:t>
      </w:r>
    </w:p>
    <w:p>
      <w:pPr>
        <w:pStyle w:val="Heading2"/>
      </w:pPr>
      <w:r>
        <w:t>Reporting Period</w:t>
      </w:r>
    </w:p>
    <w:p>
      <w:r>
        <w:t>The reporting period for this document is from 2024-12-27 to 2025-12-26. The data includes reports from the following months:</w:t>
      </w:r>
    </w:p>
    <w:p>
      <w:pPr>
        <w:pStyle w:val="ListBullet"/>
      </w:pPr>
      <w:r>
        <w:t>2024-12: 21 cases</w:t>
      </w:r>
    </w:p>
    <w:p>
      <w:pPr>
        <w:pStyle w:val="ListBullet"/>
      </w:pPr>
      <w:r>
        <w:t>2025-01: 75 cases</w:t>
      </w:r>
    </w:p>
    <w:p>
      <w:pPr>
        <w:pStyle w:val="ListBullet"/>
      </w:pPr>
      <w:r>
        <w:t>2025-02: 94 cases</w:t>
      </w:r>
    </w:p>
    <w:p>
      <w:pPr>
        <w:pStyle w:val="ListBullet"/>
      </w:pPr>
      <w:r>
        <w:t>2025-03: 83 cases</w:t>
      </w:r>
    </w:p>
    <w:p>
      <w:pPr>
        <w:pStyle w:val="ListBullet"/>
      </w:pPr>
      <w:r>
        <w:t>2025-04: 78 cases</w:t>
      </w:r>
    </w:p>
    <w:p>
      <w:pPr>
        <w:pStyle w:val="ListBullet"/>
      </w:pPr>
      <w:r>
        <w:t>2025-05: 80 cases</w:t>
      </w:r>
    </w:p>
    <w:p>
      <w:pPr>
        <w:pStyle w:val="ListBullet"/>
      </w:pPr>
      <w:r>
        <w:t>2025-06: 84 cases</w:t>
      </w:r>
    </w:p>
    <w:p>
      <w:pPr>
        <w:pStyle w:val="ListBullet"/>
      </w:pPr>
      <w:r>
        <w:t>2025-07: 109 cases</w:t>
      </w:r>
    </w:p>
    <w:p>
      <w:pPr>
        <w:pStyle w:val="ListBullet"/>
      </w:pPr>
      <w:r>
        <w:t>2025-08: 64 cases</w:t>
      </w:r>
    </w:p>
    <w:p>
      <w:pPr>
        <w:pStyle w:val="ListBullet"/>
      </w:pPr>
      <w:r>
        <w:t>2025-09: 76 cases</w:t>
      </w:r>
    </w:p>
    <w:p>
      <w:pPr>
        <w:pStyle w:val="ListBullet"/>
      </w:pPr>
      <w:r>
        <w:t>2025-10: 102 cases</w:t>
      </w:r>
    </w:p>
    <w:p>
      <w:pPr>
        <w:pStyle w:val="ListBullet"/>
      </w:pPr>
      <w:r>
        <w:t>2025-11: 75 cases</w:t>
      </w:r>
    </w:p>
    <w:p>
      <w:pPr>
        <w:pStyle w:val="ListBullet"/>
      </w:pPr>
      <w:r>
        <w:t>2025-12: 83 cases</w:t>
      </w:r>
    </w:p>
    <w:p>
      <w:pPr>
        <w:spacing w:before="40" w:after="160"/>
      </w:pPr>
      <w:r>
        <w:rPr>
          <w:sz w:val="14"/>
        </w:rPr>
        <w:t>────────────────────────────────────────────────────────────────────────────────</w:t>
      </w:r>
    </w:p>
    <w:p>
      <w:pPr>
        <w:pStyle w:val="Heading2"/>
      </w:pPr>
      <w:r>
        <w:t>Narrative Summary and Analysis</w:t>
      </w:r>
    </w:p>
    <w:p>
      <w:pPr>
        <w:pStyle w:val="Heading3"/>
      </w:pPr>
      <w:r>
        <w:t>Case Population</w:t>
      </w:r>
    </w:p>
    <w:p>
      <w:r>
        <w:t>During the reporting period of 2024-12 to 2025-12, a total of 1024 cases were reported. Of these, 1023 cases were classified as serious, representing 99.9% of the total cases. There was 1 non-serious case reported. Regarding 15-day alerts, 1023 cases were identified, all of which were serious.</w:t>
      </w:r>
    </w:p>
    <w:p>
      <w:pPr>
        <w:pStyle w:val="Heading3"/>
      </w:pPr>
      <w:r>
        <w:t>Demographic Distributions</w:t>
      </w:r>
    </w:p>
    <w:p>
      <w:r>
        <w:t>The reported sex distribution comprised 503 female cases, 493 male cases, and 28 cases with unknown sex.</w:t>
      </w:r>
    </w:p>
    <w:p>
      <w:r>
        <w:t>The age-group distribution of the reported cases was as follows:</w:t>
      </w:r>
    </w:p>
    <w:p>
      <w:pPr>
        <w:pStyle w:val="ListBullet"/>
      </w:pPr>
      <w:r>
        <w:t>&lt;18 years: 16 cases</w:t>
      </w:r>
    </w:p>
    <w:p>
      <w:pPr>
        <w:pStyle w:val="ListBullet"/>
      </w:pPr>
      <w:r>
        <w:t>18-44 years: 44 cases</w:t>
      </w:r>
    </w:p>
    <w:p>
      <w:pPr>
        <w:pStyle w:val="ListBullet"/>
      </w:pPr>
      <w:r>
        <w:t>45-64 years: 204 cases</w:t>
      </w:r>
    </w:p>
    <w:p>
      <w:pPr>
        <w:pStyle w:val="ListBullet"/>
      </w:pPr>
      <w:r>
        <w:t>65-74 years: 266 cases</w:t>
      </w:r>
    </w:p>
    <w:p>
      <w:pPr>
        <w:pStyle w:val="ListBullet"/>
      </w:pPr>
      <w:r>
        <w:t>75+ years: 408 cases</w:t>
      </w:r>
    </w:p>
    <w:p>
      <w:pPr>
        <w:pStyle w:val="ListBullet"/>
      </w:pPr>
      <w:r>
        <w:t>Unknown age: 86 cases</w:t>
      </w:r>
    </w:p>
    <w:p>
      <w:r>
        <w:t>The primary source countries for the reports included 345 cases from the EU, 281 from the United Kingdom, 185 from France, 56 from Canada, 51 from Italy, 33 from Germany, 24 from Spain, 18 from Poland, 8 from Portugal, 4 from the United States, 3 from IE, 2 each from RO, Belgium, HR, UA, Sweden, and SA, and 1 each from FI, Australia, Indonesia, and China.</w:t>
      </w:r>
    </w:p>
    <w:p>
      <w:r>
        <w:t>Reporter qualifications were identified as 492 physicians, 255 pharmacists, 162 other health professionals, and 115 consumers or non-health professionals.</w:t>
      </w:r>
    </w:p>
    <w:p>
      <w:pPr>
        <w:pStyle w:val="Heading3"/>
      </w:pPr>
      <w:r>
        <w:t>Seriousness Breakdown</w:t>
      </w:r>
    </w:p>
    <w:p>
      <w:r>
        <w:t>The seriousness categories, which are independent and may overlap, were reported as follows:</w:t>
      </w:r>
    </w:p>
    <w:p>
      <w:pPr>
        <w:pStyle w:val="ListBullet"/>
      </w:pPr>
      <w:r>
        <w:t>Other: 905 cases</w:t>
      </w:r>
    </w:p>
    <w:p>
      <w:pPr>
        <w:pStyle w:val="ListBullet"/>
      </w:pPr>
      <w:r>
        <w:t>Hospitalization: 482 cases</w:t>
      </w:r>
    </w:p>
    <w:p>
      <w:pPr>
        <w:pStyle w:val="ListBullet"/>
      </w:pPr>
      <w:r>
        <w:t>Life threatening: 105 cases</w:t>
      </w:r>
    </w:p>
    <w:p>
      <w:pPr>
        <w:pStyle w:val="ListBullet"/>
      </w:pPr>
      <w:r>
        <w:t>Death: 68 cases</w:t>
      </w:r>
    </w:p>
    <w:p>
      <w:pPr>
        <w:pStyle w:val="ListBullet"/>
      </w:pPr>
      <w:r>
        <w:t>Disabling: 44 cases</w:t>
      </w:r>
    </w:p>
    <w:p>
      <w:pPr>
        <w:pStyle w:val="ListBullet"/>
      </w:pPr>
      <w:r>
        <w:t>Congenital anomaly: 7 cases</w:t>
      </w:r>
    </w:p>
    <w:p>
      <w:pPr>
        <w:pStyle w:val="Heading3"/>
      </w:pPr>
      <w:r>
        <w:t>Reaction Profile</w:t>
      </w:r>
    </w:p>
    <w:p>
      <w:r>
        <w:t>The top reaction terms (based on reaction-record counts) were:</w:t>
      </w:r>
    </w:p>
    <w:p>
      <w:pPr>
        <w:pStyle w:val="ListBullet"/>
      </w:pPr>
      <w:r>
        <w:t>Acute kidney injury: 81</w:t>
      </w:r>
    </w:p>
    <w:p>
      <w:pPr>
        <w:pStyle w:val="ListBullet"/>
      </w:pPr>
      <w:r>
        <w:t>Drug ineffective: 60</w:t>
      </w:r>
    </w:p>
    <w:p>
      <w:pPr>
        <w:pStyle w:val="ListBullet"/>
      </w:pPr>
      <w:r>
        <w:t>Hypotension: 48</w:t>
      </w:r>
    </w:p>
    <w:p>
      <w:pPr>
        <w:pStyle w:val="ListBullet"/>
      </w:pPr>
      <w:r>
        <w:t>Drug interaction: 45</w:t>
      </w:r>
    </w:p>
    <w:p>
      <w:pPr>
        <w:pStyle w:val="ListBullet"/>
      </w:pPr>
      <w:r>
        <w:t>Dizziness: 40</w:t>
      </w:r>
    </w:p>
    <w:p>
      <w:pPr>
        <w:pStyle w:val="ListBullet"/>
      </w:pPr>
      <w:r>
        <w:t>Bradycardia: 39</w:t>
      </w:r>
    </w:p>
    <w:p>
      <w:pPr>
        <w:pStyle w:val="ListBullet"/>
      </w:pPr>
      <w:r>
        <w:t>Dyspnoea: 39</w:t>
      </w:r>
    </w:p>
    <w:p>
      <w:pPr>
        <w:pStyle w:val="ListBullet"/>
      </w:pPr>
      <w:r>
        <w:t>Fatigue: 35</w:t>
      </w:r>
    </w:p>
    <w:p>
      <w:pPr>
        <w:pStyle w:val="ListBullet"/>
      </w:pPr>
      <w:r>
        <w:t>Off label use: 34</w:t>
      </w:r>
    </w:p>
    <w:p>
      <w:pPr>
        <w:pStyle w:val="ListBullet"/>
      </w:pPr>
      <w:r>
        <w:t>Diarrhoea: 33</w:t>
      </w:r>
    </w:p>
    <w:p>
      <w:r>
        <w:t>The top serious-case reaction records were:</w:t>
      </w:r>
    </w:p>
    <w:p>
      <w:pPr>
        <w:pStyle w:val="ListBullet"/>
      </w:pPr>
      <w:r>
        <w:t>Acute kidney injury: 81</w:t>
      </w:r>
    </w:p>
    <w:p>
      <w:pPr>
        <w:pStyle w:val="ListBullet"/>
      </w:pPr>
      <w:r>
        <w:t>Drug ineffective: 59</w:t>
      </w:r>
    </w:p>
    <w:p>
      <w:pPr>
        <w:pStyle w:val="ListBullet"/>
      </w:pPr>
      <w:r>
        <w:t>Hypotension: 48</w:t>
      </w:r>
    </w:p>
    <w:p>
      <w:pPr>
        <w:pStyle w:val="ListBullet"/>
      </w:pPr>
      <w:r>
        <w:t>Drug interaction: 45</w:t>
      </w:r>
    </w:p>
    <w:p>
      <w:pPr>
        <w:pStyle w:val="ListBullet"/>
      </w:pPr>
      <w:r>
        <w:t>Dizziness: 40</w:t>
      </w:r>
    </w:p>
    <w:p>
      <w:pPr>
        <w:pStyle w:val="ListBullet"/>
      </w:pPr>
      <w:r>
        <w:t>Bradycardia: 39</w:t>
      </w:r>
    </w:p>
    <w:p>
      <w:pPr>
        <w:pStyle w:val="ListBullet"/>
      </w:pPr>
      <w:r>
        <w:t>Dyspnoea: 39</w:t>
      </w:r>
    </w:p>
    <w:p>
      <w:pPr>
        <w:pStyle w:val="ListBullet"/>
      </w:pPr>
      <w:r>
        <w:t>Fatigue: 35</w:t>
      </w:r>
    </w:p>
    <w:p>
      <w:pPr>
        <w:pStyle w:val="ListBullet"/>
      </w:pPr>
      <w:r>
        <w:t>Off label use: 34</w:t>
      </w:r>
    </w:p>
    <w:p>
      <w:pPr>
        <w:pStyle w:val="ListBullet"/>
      </w:pPr>
      <w:r>
        <w:t>Diarrhoea: 33</w:t>
      </w:r>
    </w:p>
    <w:p>
      <w:pPr>
        <w:pStyle w:val="Heading3"/>
      </w:pPr>
      <w:r>
        <w:t>Temporal Observations</w:t>
      </w:r>
    </w:p>
    <w:p>
      <w:r>
        <w:t>The average monthly case count was 78.77. The highest monthly case count was 109 in 2025-07, and the lowest monthly case count was 21 in 2024-12.</w:t>
      </w:r>
    </w:p>
    <w:p>
      <w:pPr>
        <w:pStyle w:val="Heading3"/>
      </w:pPr>
      <w:r>
        <w:t>Limitations</w:t>
      </w:r>
    </w:p>
    <w:p>
      <w:r>
        <w:t>The provided data reflects the information available within the specified reporting period. The reaction counts refer to reaction records rather than unique case counts. Seriousness categories are independent and may overlap.</w:t>
      </w:r>
    </w:p>
    <w:p>
      <w:pPr>
        <w:spacing w:before="40" w:after="160"/>
      </w:pPr>
      <w:r>
        <w:rPr>
          <w:sz w:val="14"/>
        </w:rPr>
        <w:t>────────────────────────────────────────────────────────────────────────────────</w:t>
      </w:r>
    </w:p>
    <w:p>
      <w:pPr>
        <w:pStyle w:val="Heading2"/>
      </w:pPr>
      <w:r>
        <w:t>Case Summary</w:t>
      </w:r>
    </w:p>
    <w:p>
      <w:pPr>
        <w:pStyle w:val="Heading3"/>
      </w:pPr>
      <w:r>
        <w:t>Summary Analysis of Cases</w:t>
      </w:r>
    </w:p>
    <w:p>
      <w:r>
        <w:t>A total of 1,024 cases were identified. Of these, 1,023 cases were classified as serious (99.9%), and 1 case was classified as non-serious.</w:t>
      </w:r>
    </w:p>
    <w:p>
      <w:r>
        <w:t>The seriousness categories for the reported cases are as follows:</w:t>
      </w:r>
    </w:p>
    <w:p>
      <w:pPr>
        <w:pStyle w:val="ListBullet"/>
      </w:pPr>
      <w:r>
        <w:t>Death: 68</w:t>
      </w:r>
    </w:p>
    <w:p>
      <w:pPr>
        <w:pStyle w:val="ListBullet"/>
      </w:pPr>
      <w:r>
        <w:t>Life-threatening: 105</w:t>
      </w:r>
    </w:p>
    <w:p>
      <w:pPr>
        <w:pStyle w:val="ListBullet"/>
      </w:pPr>
      <w:r>
        <w:t>Hospitalization: 482</w:t>
      </w:r>
    </w:p>
    <w:p>
      <w:pPr>
        <w:pStyle w:val="ListBullet"/>
      </w:pPr>
      <w:r>
        <w:t>Disabling: 44</w:t>
      </w:r>
    </w:p>
    <w:p>
      <w:pPr>
        <w:pStyle w:val="ListBullet"/>
      </w:pPr>
      <w:r>
        <w:t>Congenital anomaly: 7</w:t>
      </w:r>
    </w:p>
    <w:p>
      <w:pPr>
        <w:pStyle w:val="ListBullet"/>
      </w:pPr>
      <w:r>
        <w:t>Other: 905</w:t>
      </w:r>
    </w:p>
    <w:p>
      <w:r>
        <w:t>Demographic distributions for the reported cases are as follows:</w:t>
      </w:r>
    </w:p>
    <w:p>
      <w:r>
        <w:t>Age groups:</w:t>
      </w:r>
    </w:p>
    <w:p>
      <w:pPr>
        <w:pStyle w:val="ListBullet"/>
      </w:pPr>
      <w:r>
        <w:t>&lt;18: 16</w:t>
      </w:r>
    </w:p>
    <w:p>
      <w:pPr>
        <w:pStyle w:val="ListBullet"/>
      </w:pPr>
      <w:r>
        <w:t>18-44: 44</w:t>
      </w:r>
    </w:p>
    <w:p>
      <w:pPr>
        <w:pStyle w:val="ListBullet"/>
      </w:pPr>
      <w:r>
        <w:t>45-64: 204</w:t>
      </w:r>
    </w:p>
    <w:p>
      <w:pPr>
        <w:pStyle w:val="ListBullet"/>
      </w:pPr>
      <w:r>
        <w:t>65-74: 266</w:t>
      </w:r>
    </w:p>
    <w:p>
      <w:pPr>
        <w:pStyle w:val="ListBullet"/>
      </w:pPr>
      <w:r>
        <w:t>75+: 408</w:t>
      </w:r>
    </w:p>
    <w:p>
      <w:pPr>
        <w:pStyle w:val="ListBullet"/>
      </w:pPr>
      <w:r>
        <w:t>Unknown: 86</w:t>
      </w:r>
    </w:p>
    <w:p>
      <w:r>
        <w:t>Sex:</w:t>
      </w:r>
    </w:p>
    <w:p>
      <w:pPr>
        <w:pStyle w:val="ListBullet"/>
      </w:pPr>
      <w:r>
        <w:t>Female: 503</w:t>
      </w:r>
    </w:p>
    <w:p>
      <w:pPr>
        <w:pStyle w:val="ListBullet"/>
      </w:pPr>
      <w:r>
        <w:t>Male: 493</w:t>
      </w:r>
    </w:p>
    <w:p>
      <w:pPr>
        <w:pStyle w:val="ListBullet"/>
      </w:pPr>
      <w:r>
        <w:t>Unknown: 28</w:t>
      </w:r>
    </w:p>
    <w:p>
      <w:r>
        <w:t>Occurrence country:</w:t>
      </w:r>
    </w:p>
    <w:p>
      <w:pPr>
        <w:pStyle w:val="ListBullet"/>
      </w:pPr>
      <w:r>
        <w:t>EU: 342</w:t>
      </w:r>
    </w:p>
    <w:p>
      <w:pPr>
        <w:pStyle w:val="ListBullet"/>
      </w:pPr>
      <w:r>
        <w:t>United Kingdom: 278</w:t>
      </w:r>
    </w:p>
    <w:p>
      <w:pPr>
        <w:pStyle w:val="ListBullet"/>
      </w:pPr>
      <w:r>
        <w:t>France: 185</w:t>
      </w:r>
    </w:p>
    <w:p>
      <w:pPr>
        <w:pStyle w:val="ListBullet"/>
      </w:pPr>
      <w:r>
        <w:t>Canada: 55</w:t>
      </w:r>
    </w:p>
    <w:p>
      <w:pPr>
        <w:pStyle w:val="ListBullet"/>
      </w:pPr>
      <w:r>
        <w:t>Italy: 51</w:t>
      </w:r>
    </w:p>
    <w:p>
      <w:pPr>
        <w:pStyle w:val="ListBullet"/>
      </w:pPr>
      <w:r>
        <w:t>Germany: 33</w:t>
      </w:r>
    </w:p>
    <w:p>
      <w:pPr>
        <w:pStyle w:val="ListBullet"/>
      </w:pPr>
      <w:r>
        <w:t>Spain: 24</w:t>
      </w:r>
    </w:p>
    <w:p>
      <w:pPr>
        <w:pStyle w:val="ListBullet"/>
      </w:pPr>
      <w:r>
        <w:t>Poland: 18</w:t>
      </w:r>
    </w:p>
    <w:p>
      <w:pPr>
        <w:pStyle w:val="ListBullet"/>
      </w:pPr>
      <w:r>
        <w:t>Portugal: 8</w:t>
      </w:r>
    </w:p>
    <w:p>
      <w:pPr>
        <w:pStyle w:val="ListBullet"/>
      </w:pPr>
      <w:r>
        <w:t>Unknown: 7</w:t>
      </w:r>
    </w:p>
    <w:p>
      <w:pPr>
        <w:pStyle w:val="ListBullet"/>
      </w:pPr>
      <w:r>
        <w:t>United States: 4</w:t>
      </w:r>
    </w:p>
    <w:p>
      <w:pPr>
        <w:pStyle w:val="ListBullet"/>
      </w:pPr>
      <w:r>
        <w:t>IE: 3</w:t>
      </w:r>
    </w:p>
    <w:p>
      <w:pPr>
        <w:pStyle w:val="ListBullet"/>
      </w:pPr>
      <w:r>
        <w:t>RO: 2</w:t>
      </w:r>
    </w:p>
    <w:p>
      <w:pPr>
        <w:pStyle w:val="ListBullet"/>
      </w:pPr>
      <w:r>
        <w:t>Belgium: 2</w:t>
      </w:r>
    </w:p>
    <w:p>
      <w:pPr>
        <w:pStyle w:val="ListBullet"/>
      </w:pPr>
      <w:r>
        <w:t>HR: 2</w:t>
      </w:r>
    </w:p>
    <w:p>
      <w:pPr>
        <w:pStyle w:val="ListBullet"/>
      </w:pPr>
      <w:r>
        <w:t>UA: 2</w:t>
      </w:r>
    </w:p>
    <w:p>
      <w:pPr>
        <w:pStyle w:val="ListBullet"/>
      </w:pPr>
      <w:r>
        <w:t>Sweden: 2</w:t>
      </w:r>
    </w:p>
    <w:p>
      <w:pPr>
        <w:pStyle w:val="ListBullet"/>
      </w:pPr>
      <w:r>
        <w:t>SA: 2</w:t>
      </w:r>
    </w:p>
    <w:p>
      <w:pPr>
        <w:pStyle w:val="ListBullet"/>
      </w:pPr>
      <w:r>
        <w:t>FI: 1</w:t>
      </w:r>
    </w:p>
    <w:p>
      <w:pPr>
        <w:pStyle w:val="ListBullet"/>
      </w:pPr>
      <w:r>
        <w:t>Australia: 1</w:t>
      </w:r>
    </w:p>
    <w:p>
      <w:pPr>
        <w:pStyle w:val="ListBullet"/>
      </w:pPr>
      <w:r>
        <w:t>Indonesia: 1</w:t>
      </w:r>
    </w:p>
    <w:p>
      <w:pPr>
        <w:pStyle w:val="ListBullet"/>
      </w:pPr>
      <w:r>
        <w:t>China: 1</w:t>
      </w:r>
    </w:p>
    <w:p>
      <w:pPr>
        <w:spacing w:before="40" w:after="160"/>
      </w:pPr>
      <w:r>
        <w:rPr>
          <w:sz w:val="14"/>
        </w:rPr>
        <w:t>────────────────────────────────────────────────────────────────────────────────</w:t>
      </w:r>
    </w:p>
    <w:p>
      <w:pPr>
        <w:pStyle w:val="Heading2"/>
      </w:pPr>
      <w:r>
        <w:t>Reaction Analysis</w:t>
      </w:r>
    </w:p>
    <w:p>
      <w:r>
        <w:t>There were 3,648 reaction records identified, representing 1,122 unique reactions. The following counts represent reaction records.</w:t>
      </w:r>
    </w:p>
    <w:p>
      <w:r>
        <w:t>The most common reactions reported were:</w:t>
      </w:r>
    </w:p>
    <w:p>
      <w:pPr>
        <w:pStyle w:val="ListBullet"/>
      </w:pPr>
      <w:r>
        <w:t>Acute kidney injury: 81</w:t>
      </w:r>
    </w:p>
    <w:p>
      <w:pPr>
        <w:pStyle w:val="ListBullet"/>
      </w:pPr>
      <w:r>
        <w:t>Drug ineffective: 60</w:t>
      </w:r>
    </w:p>
    <w:p>
      <w:pPr>
        <w:pStyle w:val="ListBullet"/>
      </w:pPr>
      <w:r>
        <w:t>Hypotension: 48</w:t>
      </w:r>
    </w:p>
    <w:p>
      <w:pPr>
        <w:pStyle w:val="ListBullet"/>
      </w:pPr>
      <w:r>
        <w:t>Drug interaction: 45</w:t>
      </w:r>
    </w:p>
    <w:p>
      <w:pPr>
        <w:pStyle w:val="ListBullet"/>
      </w:pPr>
      <w:r>
        <w:t>Dizziness: 40</w:t>
      </w:r>
    </w:p>
    <w:p>
      <w:pPr>
        <w:pStyle w:val="ListBullet"/>
      </w:pPr>
      <w:r>
        <w:t>Bradycardia: 39</w:t>
      </w:r>
    </w:p>
    <w:p>
      <w:pPr>
        <w:pStyle w:val="ListBullet"/>
      </w:pPr>
      <w:r>
        <w:t>Dyspnoea: 39</w:t>
      </w:r>
    </w:p>
    <w:p>
      <w:pPr>
        <w:pStyle w:val="ListBullet"/>
      </w:pPr>
      <w:r>
        <w:t>Fatigue: 35</w:t>
      </w:r>
    </w:p>
    <w:p>
      <w:pPr>
        <w:pStyle w:val="ListBullet"/>
      </w:pPr>
      <w:r>
        <w:t>Off label use: 34</w:t>
      </w:r>
    </w:p>
    <w:p>
      <w:pPr>
        <w:pStyle w:val="ListBullet"/>
      </w:pPr>
      <w:r>
        <w:t>Diarrhoea: 33</w:t>
      </w:r>
    </w:p>
    <w:p>
      <w:r>
        <w:t>The most common serious reactions reported were:</w:t>
      </w:r>
    </w:p>
    <w:p>
      <w:pPr>
        <w:pStyle w:val="ListBullet"/>
      </w:pPr>
      <w:r>
        <w:t>Acute kidney injury: 81</w:t>
      </w:r>
    </w:p>
    <w:p>
      <w:pPr>
        <w:pStyle w:val="ListBullet"/>
      </w:pPr>
      <w:r>
        <w:t>Drug ineffective: 59</w:t>
      </w:r>
    </w:p>
    <w:p>
      <w:pPr>
        <w:pStyle w:val="ListBullet"/>
      </w:pPr>
      <w:r>
        <w:t>Hypotension: 48</w:t>
      </w:r>
    </w:p>
    <w:p>
      <w:pPr>
        <w:pStyle w:val="ListBullet"/>
      </w:pPr>
      <w:r>
        <w:t>Drug interaction: 45</w:t>
      </w:r>
    </w:p>
    <w:p>
      <w:pPr>
        <w:pStyle w:val="ListBullet"/>
      </w:pPr>
      <w:r>
        <w:t>Dizziness: 40</w:t>
      </w:r>
    </w:p>
    <w:p>
      <w:pPr>
        <w:pStyle w:val="ListBullet"/>
      </w:pPr>
      <w:r>
        <w:t>Bradycardia: 39</w:t>
      </w:r>
    </w:p>
    <w:p>
      <w:pPr>
        <w:pStyle w:val="ListBullet"/>
      </w:pPr>
      <w:r>
        <w:t>Dyspnoea: 39</w:t>
      </w:r>
    </w:p>
    <w:p>
      <w:pPr>
        <w:pStyle w:val="ListBullet"/>
      </w:pPr>
      <w:r>
        <w:t>Fatigue: 35</w:t>
      </w:r>
    </w:p>
    <w:p>
      <w:pPr>
        <w:pStyle w:val="ListBullet"/>
      </w:pPr>
      <w:r>
        <w:t>Off label use: 34</w:t>
      </w:r>
    </w:p>
    <w:p>
      <w:pPr>
        <w:pStyle w:val="ListBullet"/>
      </w:pPr>
      <w:r>
        <w:t>Diarrhoea: 33</w:t>
      </w:r>
    </w:p>
    <w:p>
      <w:r>
        <w:t>The outcome distribution for the 3,648 reaction records is as follows:</w:t>
      </w:r>
    </w:p>
    <w:p>
      <w:pPr>
        <w:pStyle w:val="ListBullet"/>
      </w:pPr>
      <w:r>
        <w:t>Recovered/resolved: 1,347</w:t>
      </w:r>
    </w:p>
    <w:p>
      <w:pPr>
        <w:pStyle w:val="ListBullet"/>
      </w:pPr>
      <w:r>
        <w:t>Unknown: 1,141</w:t>
      </w:r>
    </w:p>
    <w:p>
      <w:pPr>
        <w:pStyle w:val="ListBullet"/>
      </w:pPr>
      <w:r>
        <w:t>Not recovered/not resolved/ongoing: 569</w:t>
      </w:r>
    </w:p>
    <w:p>
      <w:pPr>
        <w:pStyle w:val="ListBullet"/>
      </w:pPr>
      <w:r>
        <w:t>Recovering/resolving: 420</w:t>
      </w:r>
    </w:p>
    <w:p>
      <w:pPr>
        <w:pStyle w:val="ListBullet"/>
      </w:pPr>
      <w:r>
        <w:t>Fatal: 137</w:t>
      </w:r>
    </w:p>
    <w:p>
      <w:pPr>
        <w:pStyle w:val="ListBullet"/>
      </w:pPr>
      <w:r>
        <w:t>Recovered/resolved with sequelae: 34</w:t>
      </w:r>
    </w:p>
    <w:p>
      <w:pPr>
        <w:spacing w:before="40" w:after="160"/>
      </w:pPr>
      <w:r>
        <w:rPr>
          <w:sz w:val="14"/>
        </w:rPr>
        <w:t>────────────────────────────────────────────────────────────────────────────────</w:t>
      </w:r>
    </w:p>
    <w:p>
      <w:pPr>
        <w:pStyle w:val="Heading2"/>
      </w:pPr>
      <w:r>
        <w:t>Serious Cases</w:t>
      </w:r>
    </w:p>
    <w:p>
      <w:r>
        <w:t>During the reporting period, there were 1,024 total cases, of which 1,023 were serious and 1 was non-serious. The serious cases represent 99.9% of the total cases.</w:t>
      </w:r>
    </w:p>
    <w:p>
      <w:r>
        <w:t>The seriousness categories for the 1,023 serious cases are as follows:</w:t>
      </w:r>
    </w:p>
    <w:p>
      <w:pPr>
        <w:pStyle w:val="ListBullet"/>
      </w:pPr>
      <w:r>
        <w:t>Death: 68</w:t>
      </w:r>
    </w:p>
    <w:p>
      <w:pPr>
        <w:pStyle w:val="ListBullet"/>
      </w:pPr>
      <w:r>
        <w:t>Life threatening: 105</w:t>
      </w:r>
    </w:p>
    <w:p>
      <w:pPr>
        <w:pStyle w:val="ListBullet"/>
      </w:pPr>
      <w:r>
        <w:t>Hospitalization: 482</w:t>
      </w:r>
    </w:p>
    <w:p>
      <w:pPr>
        <w:pStyle w:val="ListBullet"/>
      </w:pPr>
      <w:r>
        <w:t>Disabling: 44</w:t>
      </w:r>
    </w:p>
    <w:p>
      <w:pPr>
        <w:pStyle w:val="ListBullet"/>
      </w:pPr>
      <w:r>
        <w:t>Congenital anomaly: 7</w:t>
      </w:r>
    </w:p>
    <w:p>
      <w:pPr>
        <w:pStyle w:val="ListBullet"/>
      </w:pPr>
      <w:r>
        <w:t>Other: 905</w:t>
      </w:r>
    </w:p>
    <w:p>
      <w:r>
        <w:t>The top serious reactions reported were:</w:t>
      </w:r>
    </w:p>
    <w:p>
      <w:pPr>
        <w:pStyle w:val="ListBullet"/>
      </w:pPr>
      <w:r>
        <w:t>Acute kidney injury: 81</w:t>
      </w:r>
    </w:p>
    <w:p>
      <w:pPr>
        <w:pStyle w:val="ListBullet"/>
      </w:pPr>
      <w:r>
        <w:t>Drug ineffective: 59</w:t>
      </w:r>
    </w:p>
    <w:p>
      <w:pPr>
        <w:pStyle w:val="ListBullet"/>
      </w:pPr>
      <w:r>
        <w:t>Hypotension: 48</w:t>
      </w:r>
    </w:p>
    <w:p>
      <w:pPr>
        <w:pStyle w:val="ListBullet"/>
      </w:pPr>
      <w:r>
        <w:t>Drug interaction: 45</w:t>
      </w:r>
    </w:p>
    <w:p>
      <w:pPr>
        <w:pStyle w:val="ListBullet"/>
      </w:pPr>
      <w:r>
        <w:t>Dizziness: 40</w:t>
      </w:r>
    </w:p>
    <w:p>
      <w:pPr>
        <w:pStyle w:val="ListBullet"/>
      </w:pPr>
      <w:r>
        <w:t>Bradycardia: 39</w:t>
      </w:r>
    </w:p>
    <w:p>
      <w:pPr>
        <w:pStyle w:val="ListBullet"/>
      </w:pPr>
      <w:r>
        <w:t>Dyspnoea: 39</w:t>
      </w:r>
    </w:p>
    <w:p>
      <w:pPr>
        <w:pStyle w:val="ListBullet"/>
      </w:pPr>
      <w:r>
        <w:t>Fatigue: 35</w:t>
      </w:r>
    </w:p>
    <w:p>
      <w:pPr>
        <w:pStyle w:val="ListBullet"/>
      </w:pPr>
      <w:r>
        <w:t>Off label use: 34</w:t>
      </w:r>
    </w:p>
    <w:p>
      <w:pPr>
        <w:pStyle w:val="ListBullet"/>
      </w:pPr>
      <w:r>
        <w:t>Diarrhoea: 33</w:t>
      </w:r>
    </w:p>
    <w:p>
      <w:r>
        <w:t>Regarding 15-day alerts, there were 1,023 alert cases, all of which were serious. There were 3,645 alert reaction records. The top reactions identified in the 15-day alert cases were:</w:t>
      </w:r>
    </w:p>
    <w:p>
      <w:pPr>
        <w:pStyle w:val="ListBullet"/>
      </w:pPr>
      <w:r>
        <w:t>Acute kidney injury: 81</w:t>
      </w:r>
    </w:p>
    <w:p>
      <w:pPr>
        <w:pStyle w:val="ListBullet"/>
      </w:pPr>
      <w:r>
        <w:t>Drug ineffective: 59</w:t>
      </w:r>
    </w:p>
    <w:p>
      <w:pPr>
        <w:pStyle w:val="ListBullet"/>
      </w:pPr>
      <w:r>
        <w:t>Hypotension: 48</w:t>
      </w:r>
    </w:p>
    <w:p>
      <w:pPr>
        <w:pStyle w:val="ListBullet"/>
      </w:pPr>
      <w:r>
        <w:t>Drug interaction: 45</w:t>
      </w:r>
    </w:p>
    <w:p>
      <w:pPr>
        <w:pStyle w:val="ListBullet"/>
      </w:pPr>
      <w:r>
        <w:t>Dizziness: 40</w:t>
      </w:r>
    </w:p>
    <w:p>
      <w:pPr>
        <w:pStyle w:val="ListBullet"/>
      </w:pPr>
      <w:r>
        <w:t>Bradycardia: 39</w:t>
      </w:r>
    </w:p>
    <w:p>
      <w:pPr>
        <w:pStyle w:val="ListBullet"/>
      </w:pPr>
      <w:r>
        <w:t>Dyspnoea: 39</w:t>
      </w:r>
    </w:p>
    <w:p>
      <w:pPr>
        <w:pStyle w:val="ListBullet"/>
      </w:pPr>
      <w:r>
        <w:t>Fatigue: 35</w:t>
      </w:r>
    </w:p>
    <w:p>
      <w:pPr>
        <w:pStyle w:val="ListBullet"/>
      </w:pPr>
      <w:r>
        <w:t>Off label use: 34</w:t>
      </w:r>
    </w:p>
    <w:p>
      <w:pPr>
        <w:pStyle w:val="ListBullet"/>
      </w:pPr>
      <w:r>
        <w:t>Diarrhoea: 33</w:t>
      </w:r>
    </w:p>
    <w:p>
      <w:r>
        <w:t>The outcome distribution for the 15-day alert cases was:</w:t>
      </w:r>
    </w:p>
    <w:p>
      <w:pPr>
        <w:pStyle w:val="ListBullet"/>
      </w:pPr>
      <w:r>
        <w:t>Recovered/resolved: 1,347</w:t>
      </w:r>
    </w:p>
    <w:p>
      <w:pPr>
        <w:pStyle w:val="ListBullet"/>
      </w:pPr>
      <w:r>
        <w:t>Unknown: 1,138</w:t>
      </w:r>
    </w:p>
    <w:p>
      <w:pPr>
        <w:pStyle w:val="ListBullet"/>
      </w:pPr>
      <w:r>
        <w:t>Not recovered/not resolved/ongoing: 569</w:t>
      </w:r>
    </w:p>
    <w:p>
      <w:pPr>
        <w:pStyle w:val="ListBullet"/>
      </w:pPr>
      <w:r>
        <w:t>Recovering/resolving: 420</w:t>
      </w:r>
    </w:p>
    <w:p>
      <w:pPr>
        <w:pStyle w:val="ListBullet"/>
      </w:pPr>
      <w:r>
        <w:t>Fatal: 137</w:t>
      </w:r>
    </w:p>
    <w:p>
      <w:pPr>
        <w:pStyle w:val="ListBullet"/>
      </w:pPr>
      <w:r>
        <w:t>Recovered/resolved with sequelae: 34</w:t>
      </w:r>
    </w:p>
    <w:p>
      <w:pPr>
        <w:spacing w:before="40" w:after="160"/>
      </w:pPr>
      <w:r>
        <w:rPr>
          <w:sz w:val="14"/>
        </w:rPr>
        <w:t>────────────────────────────────────────────────────────────────────────────────</w:t>
      </w:r>
    </w:p>
    <w:p>
      <w:pPr>
        <w:pStyle w:val="Heading2"/>
      </w:pPr>
      <w:r>
        <w:t>Trends</w:t>
      </w:r>
    </w:p>
    <w:p>
      <w:pPr>
        <w:pStyle w:val="Heading3"/>
      </w:pPr>
      <w:r>
        <w:t>Trends and Important Observations</w:t>
      </w:r>
    </w:p>
    <w:p>
      <w:r>
        <w:t>During the reporting period from 2024-12 to 2025-12, the monthly case counts were as follows:</w:t>
      </w:r>
    </w:p>
    <w:p>
      <w:pPr>
        <w:pStyle w:val="ListBullet"/>
      </w:pPr>
      <w:r>
        <w:t>2024-12: 21</w:t>
      </w:r>
    </w:p>
    <w:p>
      <w:pPr>
        <w:pStyle w:val="ListBullet"/>
      </w:pPr>
      <w:r>
        <w:t>2025-01: 75</w:t>
      </w:r>
    </w:p>
    <w:p>
      <w:pPr>
        <w:pStyle w:val="ListBullet"/>
      </w:pPr>
      <w:r>
        <w:t>2025-02: 94</w:t>
      </w:r>
    </w:p>
    <w:p>
      <w:pPr>
        <w:pStyle w:val="ListBullet"/>
      </w:pPr>
      <w:r>
        <w:t>2025-03: 83</w:t>
      </w:r>
    </w:p>
    <w:p>
      <w:pPr>
        <w:pStyle w:val="ListBullet"/>
      </w:pPr>
      <w:r>
        <w:t>2025-04: 78</w:t>
      </w:r>
    </w:p>
    <w:p>
      <w:pPr>
        <w:pStyle w:val="ListBullet"/>
      </w:pPr>
      <w:r>
        <w:t>2025-05: 80</w:t>
      </w:r>
    </w:p>
    <w:p>
      <w:pPr>
        <w:pStyle w:val="ListBullet"/>
      </w:pPr>
      <w:r>
        <w:t>2025-06: 84</w:t>
      </w:r>
    </w:p>
    <w:p>
      <w:pPr>
        <w:pStyle w:val="ListBullet"/>
      </w:pPr>
      <w:r>
        <w:t>2025-07: 109</w:t>
      </w:r>
    </w:p>
    <w:p>
      <w:pPr>
        <w:pStyle w:val="ListBullet"/>
      </w:pPr>
      <w:r>
        <w:t>2025-08: 64</w:t>
      </w:r>
    </w:p>
    <w:p>
      <w:pPr>
        <w:pStyle w:val="ListBullet"/>
      </w:pPr>
      <w:r>
        <w:t>2025-09: 76</w:t>
      </w:r>
    </w:p>
    <w:p>
      <w:pPr>
        <w:pStyle w:val="ListBullet"/>
      </w:pPr>
      <w:r>
        <w:t>2025-10: 102</w:t>
      </w:r>
    </w:p>
    <w:p>
      <w:pPr>
        <w:pStyle w:val="ListBullet"/>
      </w:pPr>
      <w:r>
        <w:t>2025-11: 75</w:t>
      </w:r>
    </w:p>
    <w:p>
      <w:pPr>
        <w:pStyle w:val="ListBullet"/>
      </w:pPr>
      <w:r>
        <w:t>2025-12: 83</w:t>
      </w:r>
    </w:p>
    <w:p>
      <w:r>
        <w:t>The highest monthly case count was 109 in 2025-07, while the lowest was 21 in 2024-12. The average monthly case count for this period was 78.77.</w:t>
      </w:r>
    </w:p>
    <w:p>
      <w:pPr>
        <w:spacing w:before="40" w:after="160"/>
      </w:pPr>
      <w:r>
        <w:rPr>
          <w:sz w:val="14"/>
        </w:rPr>
        <w:t>────────────────────────────────────────────────────────────────────────────────</w:t>
      </w:r>
    </w:p>
    <w:p>
      <w:pPr>
        <w:pStyle w:val="Heading2"/>
      </w:pPr>
      <w:r>
        <w:t>History of Actions</w:t>
      </w:r>
    </w:p>
    <w:p>
      <w:r>
        <w:t>History of Actions</w:t>
      </w:r>
    </w:p>
    <w:p>
      <w:r>
        <w:t>No history-of-actions information was supplied with the dataset.</w:t>
      </w:r>
    </w:p>
    <w:p>
      <w:pPr>
        <w:spacing w:before="40" w:after="160"/>
      </w:pPr>
      <w:r>
        <w:rPr>
          <w:sz w:val="14"/>
        </w:rPr>
        <w:t>────────────────────────────────────────────────────────────────────────────────</w:t>
      </w:r>
    </w:p>
    <w:p>
      <w:pPr>
        <w:pStyle w:val="Heading2"/>
      </w:pPr>
      <w:r>
        <w:t>Case Index</w:t>
      </w:r>
    </w:p>
    <w:p>
      <w:r>
        <w:t>A structured CSV case listing, titled case_listing.csv, accompanies this report. The listing includes 3,648 reaction records across 1,024 unique cases. The following fields are included for each record:</w:t>
      </w:r>
    </w:p>
    <w:p>
      <w:pPr>
        <w:pStyle w:val="ListBullet"/>
      </w:pPr>
      <w:r>
        <w:t>Case ID</w:t>
      </w:r>
    </w:p>
    <w:p>
      <w:pPr>
        <w:pStyle w:val="ListBullet"/>
      </w:pPr>
      <w:r>
        <w:t>Reaction</w:t>
      </w:r>
    </w:p>
    <w:p>
      <w:pPr>
        <w:pStyle w:val="ListBullet"/>
      </w:pPr>
      <w:r>
        <w:t>Seriousness</w:t>
      </w:r>
    </w:p>
    <w:p>
      <w:pPr>
        <w:pStyle w:val="ListBullet"/>
      </w:pPr>
      <w:r>
        <w:t>Reporting date</w:t>
      </w:r>
    </w:p>
    <w:p>
      <w:pPr>
        <w:pStyle w:val="ListBullet"/>
      </w:pPr>
      <w:r>
        <w:t>Country</w:t>
      </w:r>
    </w:p>
    <w:p>
      <w:pPr>
        <w:pStyle w:val="ListBullet"/>
      </w:pPr>
      <w:r>
        <w:t>Outcome</w:t>
      </w:r>
    </w:p>
    <w:p>
      <w:pPr>
        <w:spacing w:before="40" w:after="160"/>
      </w:pPr>
      <w:r>
        <w:rPr>
          <w:sz w:val="14"/>
        </w:rP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PADER AI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