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X40010ceacc5a9ef0795974772eca8787807ccb8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28.09.2026 – 03.01.2027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(1)</w:t>
            </w:r>
            <w:r>
              <w:t xml:space="preserve"> </w:t>
            </w:r>
            <w:r>
              <w:rPr>
                <w:b/>
                <w:bCs/>
              </w:rPr>
              <w:t xml:space="preserve">La matrícula del curso incluye: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Inscripción en la plataforma SmartCampus.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Acceso continuo al contenido del curso, las 24 horas del día, durante toda su duración.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Certificado de formación continuada al completar el curso.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2026-06-19T15:49:27Z</dcterms:created>
  <dcterms:modified xsi:type="dcterms:W3CDTF">2026-06-19T15:49:27Z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