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líquido cefalorraquídeo (LCR) y de la dinámica intracraneal,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4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la relación entre presión, volumen y compliance 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incluyendo:valores medios, morfología de la onda (P1, P2, P3), variabilidad temporal.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2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presión–&gt;volumen–&gt;compliance–&gt;flujo–&gt;pulsatilidad.</w:t>
      </w:r>
    </w:p>
    <w:bookmarkEnd w:id="12"/>
    <w:bookmarkStart w:id="13" w:name="competencia-transversal"/>
    <w:p>
      <w:pPr>
        <w:pStyle w:val="Heading3"/>
      </w:pPr>
      <w:r>
        <w:t xml:space="preserve">2.4 Competencia transversal</w:t>
      </w:r>
    </w:p>
    <w:p>
      <w:pPr>
        <w:numPr>
          <w:ilvl w:val="0"/>
          <w:numId w:val="1004"/>
        </w:numPr>
      </w:pPr>
      <w:r>
        <w:t xml:space="preserve">Analizar críticamente la literatura científica relevante (Journal Club) en relación con la dinámica del LCR y la PIC.</w:t>
      </w:r>
    </w:p>
    <w:p>
      <w:pPr>
        <w:numPr>
          <w:ilvl w:val="0"/>
          <w:numId w:val="1004"/>
        </w:numPr>
      </w:pPr>
      <w:r>
        <w:t xml:space="preserve">Identificar limitaciones metodológicas y su impacto en la interpretación fisiopatológica.</w:t>
      </w:r>
    </w:p>
    <w:p>
      <w:pPr>
        <w:numPr>
          <w:ilvl w:val="0"/>
          <w:numId w:val="1004"/>
        </w:numPr>
      </w:pPr>
      <w:r>
        <w:t xml:space="preserve">Integrar la evidencia científica en la toma de decisiones clínicas.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2026-06-12T11:40:53Z</dcterms:created>
  <dcterms:modified xsi:type="dcterms:W3CDTF">2026-06-12T11:40:53Z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