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Objetivos SC-H1-v2026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Dirigido a</w:t>
      </w:r>
      <w:r>
        <w:t xml:space="preserve"> </w:t>
      </w:r>
      <w:r>
        <w:rPr>
          <w:b/>
          <w:bCs/>
        </w:rPr>
        <w:t xml:space="preserve">neurocirujanos, neurólogos, intensivistas, anestesiólogos y personal de enfermería</w:t>
      </w:r>
      <w:r>
        <w:t xml:space="preserve"> </w:t>
      </w:r>
      <w:r>
        <w:t xml:space="preserve">implicados en el manejo de pacientes con patología neurológica y neuroquirúrgica, este curso tiene como objetivo general actualizar, de forma rigurosa y orientada a la práctica clínica, los conocimientos sobre la hidrocefalia y la dinámica del líquido cefalorraquídeo (LCR). Asimismo, pretende proporcionar herramientas que permitan abordar las preguntas clínicas que surgen en la práctica diaria y facilitar la integración efectiva de estos conocimientos en la actividad asistencial.</w:t>
      </w:r>
    </w:p>
    <w:bookmarkStart w:id="12" w:name="competencias-y-resultados-de-aprendizaje"/>
    <w:p>
      <w:pPr>
        <w:pStyle w:val="Heading2"/>
      </w:pPr>
      <w:r>
        <w:t xml:space="preserve">1 Competencias y resultados de aprendizaje</w:t>
      </w:r>
    </w:p>
    <w:p>
      <w:pPr>
        <w:pStyle w:val="FirstParagraph"/>
      </w:pPr>
      <w:r>
        <w:t xml:space="preserve">Al finalizar el curso SC-H1-v2026, el participante será capaz de:</w:t>
      </w:r>
    </w:p>
    <w:bookmarkStart w:id="9" w:name="conocimientos"/>
    <w:p>
      <w:pPr>
        <w:pStyle w:val="Heading3"/>
      </w:pPr>
      <w:r>
        <w:t xml:space="preserve">1.1 Conocimientos</w:t>
      </w:r>
    </w:p>
    <w:p>
      <w:pPr>
        <w:numPr>
          <w:ilvl w:val="0"/>
          <w:numId w:val="1001"/>
        </w:numPr>
      </w:pPr>
      <w:r>
        <w:t xml:space="preserve">Describir de forma precisa la anatomía y fisiología del sistema del líquido cefalorraquídeo (LCR), incluyendo los mecanismos de producción, circulación y reabsorción.</w:t>
      </w:r>
    </w:p>
    <w:p>
      <w:pPr>
        <w:numPr>
          <w:ilvl w:val="0"/>
          <w:numId w:val="1001"/>
        </w:numPr>
      </w:pPr>
      <w:r>
        <w:t xml:space="preserve">Explicar los principales modelos fisiopatológicos implicados en el desarrollo de la hidrocefalia, integrando conceptos clásicos y actuales.</w:t>
      </w:r>
    </w:p>
    <w:p>
      <w:pPr>
        <w:numPr>
          <w:ilvl w:val="0"/>
          <w:numId w:val="1001"/>
        </w:numPr>
      </w:pPr>
      <w:r>
        <w:t xml:space="preserve">Reconocer los fundamentos teóricos de la monitorización de la presión intracraneal (PIC) y sus principales parámetros.</w:t>
      </w:r>
    </w:p>
    <w:bookmarkEnd w:id="9"/>
    <w:bookmarkStart w:id="10" w:name="habilidades-skills"/>
    <w:p>
      <w:pPr>
        <w:pStyle w:val="Heading3"/>
      </w:pPr>
      <w:r>
        <w:t xml:space="preserve">1.2</w:t>
      </w:r>
      <w:r>
        <w:t xml:space="preserve"> </w:t>
      </w:r>
      <w:r>
        <w:rPr>
          <w:b/>
          <w:bCs/>
        </w:rPr>
        <w:t xml:space="preserve">Habilidades (</w:t>
      </w:r>
      <w:r>
        <w:rPr>
          <w:b/>
          <w:bCs/>
          <w:i/>
          <w:iCs/>
        </w:rPr>
        <w:t xml:space="preserve">Skills</w:t>
      </w:r>
      <w:r>
        <w:rPr>
          <w:b/>
          <w:bCs/>
        </w:rPr>
        <w:t xml:space="preserve">)</w:t>
      </w:r>
    </w:p>
    <w:p>
      <w:pPr>
        <w:numPr>
          <w:ilvl w:val="0"/>
          <w:numId w:val="1002"/>
        </w:numPr>
      </w:pPr>
      <w:r>
        <w:t xml:space="preserve">Interpretar de manera sistemática registros de PIC, distinguiendo patrones fisiológicos y patológicos.</w:t>
      </w:r>
    </w:p>
    <w:p>
      <w:pPr>
        <w:numPr>
          <w:ilvl w:val="0"/>
          <w:numId w:val="1002"/>
        </w:numPr>
      </w:pPr>
      <w:r>
        <w:t xml:space="preserve">Analizar datos procedentes de diferentes sistemas de monitorización intracraneal, integrándolos con la situación clínica del paciente.</w:t>
      </w:r>
    </w:p>
    <w:p>
      <w:pPr>
        <w:numPr>
          <w:ilvl w:val="0"/>
          <w:numId w:val="1002"/>
        </w:numPr>
      </w:pPr>
      <w:r>
        <w:t xml:space="preserve">Elaborar informes estructurados de interpretación de registros de PIC con relevancia clínica.</w:t>
      </w:r>
    </w:p>
    <w:p>
      <w:pPr>
        <w:numPr>
          <w:ilvl w:val="0"/>
          <w:numId w:val="1002"/>
        </w:numPr>
      </w:pPr>
      <w:r>
        <w:t xml:space="preserve">Aplicar los conocimientos teóricos en la resolución de problemas clínicos relacionados con la hidrocefalia.</w:t>
      </w:r>
    </w:p>
    <w:bookmarkEnd w:id="10"/>
    <w:bookmarkStart w:id="11" w:name="competencias-clínicas"/>
    <w:p>
      <w:pPr>
        <w:pStyle w:val="Heading3"/>
      </w:pPr>
      <w:r>
        <w:t xml:space="preserve">1.3 Competencias clínicas</w:t>
      </w:r>
    </w:p>
    <w:p>
      <w:pPr>
        <w:numPr>
          <w:ilvl w:val="0"/>
          <w:numId w:val="1003"/>
        </w:numPr>
      </w:pPr>
      <w:r>
        <w:t xml:space="preserve">Integrar la información fisiopatológica y los datos de monitorización en la toma de decisiones diagnósticas y terapéuticas en pacientes con hidrocefalia.</w:t>
      </w:r>
    </w:p>
    <w:p>
      <w:pPr>
        <w:numPr>
          <w:ilvl w:val="0"/>
          <w:numId w:val="1003"/>
        </w:numPr>
      </w:pPr>
      <w:r>
        <w:t xml:space="preserve">Valorar la indicación, utilidad y limitaciones de las distintas estrategias terapéuticas disponibles.</w:t>
      </w:r>
    </w:p>
    <w:p>
      <w:pPr>
        <w:numPr>
          <w:ilvl w:val="0"/>
          <w:numId w:val="1003"/>
        </w:numPr>
      </w:pPr>
      <w:r>
        <w:t xml:space="preserve">Evaluar la respuesta al tratamiento mediante la interpretación de parámetros clínicos y de monitorización.</w:t>
      </w:r>
    </w:p>
    <w:p>
      <w:pPr>
        <w:numPr>
          <w:ilvl w:val="0"/>
          <w:numId w:val="1003"/>
        </w:numPr>
      </w:pPr>
      <w:r>
        <w:t xml:space="preserve">Aplicar un razonamiento clínico estructurado en el manejo de casos complejos de alteraciones de la dinámica del LCR.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 SC-H1-v2026</dc:title>
  <dc:creator/>
  <cp:keywords/>
  <dcterms:created xsi:type="dcterms:W3CDTF">2026-06-10T13:39:23Z</dcterms:created>
  <dcterms:modified xsi:type="dcterms:W3CDTF">2026-06-10T13:39:23Z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