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 |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| Módulo 1. Aspectos básicos sobre la fisiología y fisiopatología del LCR</w:t>
      </w:r>
    </w:p>
    <w:p>
      <w:pPr>
        <w:numPr>
          <w:ilvl w:val="0"/>
          <w:numId w:val="1004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4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4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4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4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4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4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4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8" w:name="webinar-16.09.2026-1900---2100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6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5" w:name="conferencia-invitada"/>
    <w:p>
      <w:pPr>
        <w:pStyle w:val="Heading3"/>
      </w:pPr>
      <w:r>
        <w:t xml:space="preserve">1.2 |</w:t>
      </w:r>
      <w:r>
        <w:t xml:space="preserve"> </w:t>
      </w:r>
      <w:r>
        <w:rPr>
          <w:b/>
          <w:bCs/>
        </w:rPr>
        <w:t xml:space="preserve">Conferencia invitada</w:t>
      </w:r>
    </w:p>
    <w:bookmarkEnd w:id="15"/>
    <w:bookmarkStart w:id="16" w:name="Xddb943b6d86c9e5555c7363ad5a7c8eb27da19f"/>
    <w:p>
      <w:pPr>
        <w:pStyle w:val="Heading3"/>
      </w:pPr>
      <w:r>
        <w:t xml:space="preserve">1.3 Analysis of intracranial pressure pulse waveform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6"/>
    <w:bookmarkStart w:id="18" w:name="Xe0e4450e1d9fdf46ba79c3fa27637e309edd42f"/>
    <w:p>
      <w:pPr>
        <w:pStyle w:val="Heading3"/>
      </w:pPr>
      <w:r>
        <w:t xml:space="preserve">1.4 | Módulo 2. Actualizaciones sobre los conceptos de hidrocefalia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9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9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20" w:name="webinar-7-de-octubre-1900-horas"/>
    <w:p>
      <w:pPr>
        <w:pStyle w:val="Heading3"/>
      </w:pPr>
      <w:r>
        <w:t xml:space="preserve">1.5 | Webinar (7 de octubre, 19:00 horas)</w:t>
      </w:r>
    </w:p>
    <w:bookmarkStart w:id="19" w:name="X0bcca3650dda935a2da42165fcafdef1ad7a1f8"/>
    <w:p>
      <w:pPr>
        <w:pStyle w:val="Heading4"/>
      </w:pPr>
      <w:r>
        <w:t xml:space="preserve">1.5.1 Lifelong implications in the diagnosis and management of Hydrocephalus.</w:t>
      </w:r>
    </w:p>
    <w:p>
      <w:pPr>
        <w:pStyle w:val="Compact"/>
        <w:numPr>
          <w:ilvl w:val="0"/>
          <w:numId w:val="1011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9"/>
    <w:bookmarkEnd w:id="20"/>
    <w:bookmarkStart w:id="22" w:name="X3198d81f49e008158305c14e6b6752b9ef3dd4c"/>
    <w:p>
      <w:pPr>
        <w:pStyle w:val="Heading3"/>
      </w:pPr>
      <w:r>
        <w:t xml:space="preserve">1.6 | Módulo 3.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e66d7d78fe1f97caf6053f00a5ca5f5f89bcbf7"/>
    <w:p>
      <w:pPr>
        <w:pStyle w:val="Heading3"/>
      </w:pPr>
      <w:r>
        <w:t xml:space="preserve">1.7 | Webinar.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3"/>
      </w:pPr>
      <w:r>
        <w:t xml:space="preserve">1.8 | Módulo 4.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Start w:id="24" w:name="actividades-complementarias-modulo-4"/>
    <w:p>
      <w:pPr>
        <w:pStyle w:val="Heading4"/>
      </w:pPr>
      <w:r>
        <w:t xml:space="preserve">1.8.1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6" w:name="X6d25449cf4a073097dbed84f2aa4c297994f549"/>
    <w:p>
      <w:pPr>
        <w:pStyle w:val="Heading3"/>
      </w:pPr>
      <w:r>
        <w:t xml:space="preserve">1.9 | Webinar | 18 de noviembre, 19:00 horas. Valoración de casos clínicos y registros de PIC.</w:t>
      </w:r>
    </w:p>
    <w:p>
      <w:pPr>
        <w:pStyle w:val="Compact"/>
        <w:numPr>
          <w:ilvl w:val="0"/>
          <w:numId w:val="1017"/>
        </w:numPr>
      </w:pPr>
      <w:r>
        <w:t xml:space="preserve">D. López-Bermeo</w:t>
      </w:r>
    </w:p>
    <w:p>
      <w:pPr>
        <w:pStyle w:val="Compact"/>
        <w:numPr>
          <w:ilvl w:val="0"/>
          <w:numId w:val="1017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6"/>
    <w:bookmarkStart w:id="27" w:name="X905bacab504cb9782e974405000004090d897af"/>
    <w:p>
      <w:pPr>
        <w:pStyle w:val="Heading3"/>
      </w:pPr>
      <w:r>
        <w:t xml:space="preserve">1.10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2026-06-10T16:11:22Z</dcterms:created>
  <dcterms:modified xsi:type="dcterms:W3CDTF">2026-06-10T16:11:22Z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