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líquido cefalorraquídeo (LCR) y de la dinámica intracraneal,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4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reabsorción.</w:t>
      </w:r>
    </w:p>
    <w:p>
      <w:pPr>
        <w:numPr>
          <w:ilvl w:val="0"/>
          <w:numId w:val="1001"/>
        </w:numPr>
      </w:pPr>
      <w:r>
        <w:t xml:space="preserve">Explicar la relación entre presión, volumen y compliance 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incluyendo:valores medios, morfología de la onda (P1, P2, P3), variabilidad temporal.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2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pStyle w:val="FirstParagraph"/>
      </w:pPr>
      <w:r>
        <w:t xml:space="preserve">-Aplicar un razonamiento clínico estructurado basado en el eje: presión–&gt;volumen–&gt;compliance–&gt;flujo–&gt;pulsatilidad.</w:t>
      </w:r>
    </w:p>
    <w:bookmarkEnd w:id="12"/>
    <w:bookmarkStart w:id="13" w:name="competencia-transversal"/>
    <w:p>
      <w:pPr>
        <w:pStyle w:val="Heading3"/>
      </w:pPr>
      <w:r>
        <w:t xml:space="preserve">2.4 Competencia transversal</w:t>
      </w:r>
    </w:p>
    <w:p>
      <w:pPr>
        <w:numPr>
          <w:ilvl w:val="0"/>
          <w:numId w:val="1004"/>
        </w:numPr>
      </w:pPr>
      <w:r>
        <w:t xml:space="preserve">Analizar críticamente la literatura científica relevante (Journal Club) en relación con la dinámica del LCR y la PIC.</w:t>
      </w:r>
    </w:p>
    <w:p>
      <w:pPr>
        <w:numPr>
          <w:ilvl w:val="0"/>
          <w:numId w:val="1004"/>
        </w:numPr>
      </w:pPr>
      <w:r>
        <w:t xml:space="preserve">Identificar limitaciones metodológicas y su impacto en la interpretación fisiopatológica.</w:t>
      </w:r>
    </w:p>
    <w:p>
      <w:pPr>
        <w:numPr>
          <w:ilvl w:val="0"/>
          <w:numId w:val="1004"/>
        </w:numPr>
      </w:pPr>
      <w:r>
        <w:t xml:space="preserve">Integrar la evidencia científica en la toma de decisiones clínicas.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2026-06-10T16:00:34Z</dcterms:created>
  <dcterms:modified xsi:type="dcterms:W3CDTF">2026-06-10T16:00:34Z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