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9" w:name="objetivo-general"/>
    <w:p>
      <w:pPr>
        <w:pStyle w:val="Heading2"/>
      </w:pPr>
      <w:r>
        <w:t xml:space="preserve">1 Objetivo general</w:t>
      </w:r>
    </w:p>
    <w:p>
      <w:pPr>
        <w:pStyle w:val="FirstParagraph"/>
      </w:pPr>
      <w:r>
        <w:t xml:space="preserve">Desarrollar una comprensión avanzada e integrada del sistema del líquido cefalorraquídeo (LCR) y de la dinámica intracraneal, que permita interpretar de forma crítica la presión intracraneal (PIC) y otros parámetros fisiológicos, y aplicarlos al razonamiento clínico experto en pacientes con alteraciones de la dinámica del LCR.</w:t>
      </w:r>
    </w:p>
    <w:bookmarkEnd w:id="9"/>
    <w:bookmarkStart w:id="14" w:name="competencias-y-resultados-de-aprendizaje"/>
    <w:p>
      <w:pPr>
        <w:pStyle w:val="Heading2"/>
      </w:pPr>
      <w:r>
        <w:t xml:space="preserve">2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10" w:name="conocimientos"/>
    <w:p>
      <w:pPr>
        <w:pStyle w:val="Heading3"/>
      </w:pPr>
      <w:r>
        <w:t xml:space="preserve">2.1 Conocimientos</w:t>
      </w:r>
    </w:p>
    <w:p>
      <w:pPr>
        <w:numPr>
          <w:ilvl w:val="0"/>
          <w:numId w:val="1001"/>
        </w:numPr>
      </w:pPr>
      <w:r>
        <w:t xml:space="preserve">Describir la anatomía y fisiología del sistema del LCR, incluyendo los mecanismos de producción, circulación y reabsorción.</w:t>
      </w:r>
    </w:p>
    <w:p>
      <w:pPr>
        <w:numPr>
          <w:ilvl w:val="0"/>
          <w:numId w:val="1001"/>
        </w:numPr>
      </w:pPr>
      <w:r>
        <w:t xml:space="preserve">Explicar la relación entre presión, volumen y compliance intracraneal, integrando la doctrina de Monro‑Kellie con conceptos actuales.</w:t>
      </w:r>
    </w:p>
    <w:p>
      <w:pPr>
        <w:numPr>
          <w:ilvl w:val="0"/>
          <w:numId w:val="1001"/>
        </w:numPr>
      </w:pPr>
      <w:r>
        <w:t xml:space="preserve">Analizar los principales modelos fisiopatológicos de la hidrocefalia, incorporando tanto enfoques clásicos como modelos dinámicos avanzados.</w:t>
      </w:r>
    </w:p>
    <w:p>
      <w:pPr>
        <w:numPr>
          <w:ilvl w:val="0"/>
          <w:numId w:val="1001"/>
        </w:numPr>
      </w:pPr>
      <w:r>
        <w:t xml:space="preserve">Comprender los fundamentos teóricos de la monitorización de la PIC, incluyendo la adquisición y características de la señal.</w:t>
      </w:r>
    </w:p>
    <w:bookmarkEnd w:id="10"/>
    <w:bookmarkStart w:id="11" w:name="habilidades-skills"/>
    <w:p>
      <w:pPr>
        <w:pStyle w:val="Heading3"/>
      </w:pPr>
      <w:r>
        <w:t xml:space="preserve">2.2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incluyendo:valores medios, morfología de la onda (P1, P2, P3), variabilidad temporal.</w:t>
      </w:r>
    </w:p>
    <w:p>
      <w:pPr>
        <w:numPr>
          <w:ilvl w:val="0"/>
          <w:numId w:val="1002"/>
        </w:numPr>
      </w:pPr>
      <w:r>
        <w:t xml:space="preserve">Analizar de forma crítica datos procedentes de monitorización de la PIC, identificando patrones fisiopatológicos relevantes.</w:t>
      </w:r>
    </w:p>
    <w:p>
      <w:pPr>
        <w:numPr>
          <w:ilvl w:val="0"/>
          <w:numId w:val="1002"/>
        </w:numPr>
      </w:pPr>
      <w:r>
        <w:t xml:space="preserve">Integrar parámetros dinámicos (p. ej., amplitud de pulso, índices derivados, resistencia al drenaje) en la evaluación del sistema intracraneal.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fisiopatológica y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complejos relacionados con la dinámica del LCR.</w:t>
      </w:r>
    </w:p>
    <w:bookmarkEnd w:id="11"/>
    <w:bookmarkStart w:id="12" w:name="competencias-clínicas"/>
    <w:p>
      <w:pPr>
        <w:pStyle w:val="Heading3"/>
      </w:pPr>
      <w:r>
        <w:t xml:space="preserve">2.3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en la toma de decisiones diagnósticas y terapéuticas.</w:t>
      </w:r>
    </w:p>
    <w:p>
      <w:pPr>
        <w:numPr>
          <w:ilvl w:val="0"/>
          <w:numId w:val="1003"/>
        </w:numPr>
      </w:pPr>
      <w:r>
        <w:t xml:space="preserve">Valorar de forma crítica la utilidad y las limitaciones de los distintos métodos de evaluación de la dinámica del LCR y la PIC.</w:t>
      </w:r>
    </w:p>
    <w:p>
      <w:pPr>
        <w:numPr>
          <w:ilvl w:val="0"/>
          <w:numId w:val="1003"/>
        </w:numPr>
      </w:pPr>
      <w:r>
        <w:t xml:space="preserve">Aplicar un razonamiento clínico estructurado basado en el eje: presión–&gt;volumen–&gt;compliance–&gt;flujo–&gt;pulsatilidad.</w:t>
      </w:r>
    </w:p>
    <w:bookmarkEnd w:id="12"/>
    <w:bookmarkStart w:id="13" w:name="competencia-transversal"/>
    <w:p>
      <w:pPr>
        <w:pStyle w:val="Heading3"/>
      </w:pPr>
      <w:r>
        <w:t xml:space="preserve">2.4 Competencia transversal</w:t>
      </w:r>
    </w:p>
    <w:p>
      <w:pPr>
        <w:numPr>
          <w:ilvl w:val="0"/>
          <w:numId w:val="1004"/>
        </w:numPr>
      </w:pPr>
      <w:r>
        <w:t xml:space="preserve">Analizar críticamente la literatura científica relevante (Journal Club) en relación con la dinámica del LCR y la PIC.</w:t>
      </w:r>
    </w:p>
    <w:p>
      <w:pPr>
        <w:numPr>
          <w:ilvl w:val="0"/>
          <w:numId w:val="1004"/>
        </w:numPr>
      </w:pPr>
      <w:r>
        <w:t xml:space="preserve">Identificar limitaciones metodológicas y su impacto en la interpretación fisiopatológica.</w:t>
      </w:r>
    </w:p>
    <w:p>
      <w:pPr>
        <w:numPr>
          <w:ilvl w:val="0"/>
          <w:numId w:val="1004"/>
        </w:numPr>
      </w:pPr>
      <w:r>
        <w:t xml:space="preserve">Integrar la evidencia científica en la toma de decisiones clínicas.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2026-06-12T14:04:09Z</dcterms:created>
  <dcterms:modified xsi:type="dcterms:W3CDTF">2026-06-12T14:04:09Z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