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LCR y de la dinámica craneo-espinal,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6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reabsorción, así como las teorías actuales sobre el sistema glinfático.</w:t>
      </w:r>
    </w:p>
    <w:p>
      <w:pPr>
        <w:numPr>
          <w:ilvl w:val="0"/>
          <w:numId w:val="1001"/>
        </w:numPr>
      </w:pPr>
      <w:r>
        <w:t xml:space="preserve">Explicar la relación entre presión, volumen y</w:t>
      </w:r>
      <w:r>
        <w:t xml:space="preserve"> </w:t>
      </w:r>
      <w:r>
        <w:rPr>
          <w:i/>
          <w:iCs/>
        </w:rPr>
        <w:t xml:space="preserve">compliance</w:t>
      </w:r>
      <w:r>
        <w:t xml:space="preserve"> </w:t>
      </w:r>
      <w:r>
        <w:t xml:space="preserve">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 valores medios, morfología de la onda (P1, P2, P3), variabilidad temporal y detectar la presencia de ondas lentas.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5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de la PCI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volumen-&gt;presión–&gt;compliance–&gt;flujo–&gt;pulsatilidad cerebral.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Competencias Transversales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Analizar críticamente la literatura científica relevante (</w:t>
            </w:r>
            <w:r>
              <w:rPr>
                <w:i/>
                <w:iCs/>
              </w:rPr>
              <w:t xml:space="preserve">Journal Club</w:t>
            </w:r>
            <w:r>
              <w:t xml:space="preserve">) en relación con la dinámica del LCR y la PIC.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Identificar limitaciones metodológicas y su impacto en la interpretación fisiopatológica.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Integrar la evidencia científica en la toma de decisiones clínicas.</w:t>
            </w:r>
          </w:p>
          <w:p/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2026-06-15T16:50:46Z</dcterms:created>
  <dcterms:modified xsi:type="dcterms:W3CDTF">2026-06-15T16:50:46Z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