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12" w:name="competencias-y-resultados-de-aprendizaje"/>
    <w:p>
      <w:pPr>
        <w:pStyle w:val="Heading2"/>
      </w:pPr>
      <w:r>
        <w:t xml:space="preserve">1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9" w:name="conocimientos"/>
    <w:p>
      <w:pPr>
        <w:pStyle w:val="Heading3"/>
      </w:pPr>
      <w:r>
        <w:t xml:space="preserve">1.1 Conocimientos</w:t>
      </w:r>
    </w:p>
    <w:p>
      <w:pPr>
        <w:numPr>
          <w:ilvl w:val="0"/>
          <w:numId w:val="1001"/>
        </w:numPr>
      </w:pPr>
      <w:r>
        <w:t xml:space="preserve">Describir de forma precisa la anatomía y fisiología del sistema del líquido cefalorraquídeo (LCR),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los principales modelos fisiopatológicos implicados en el desarrollo de la hidrocefalia, integrando conceptos clásicos y actuales.</w:t>
      </w:r>
    </w:p>
    <w:p>
      <w:pPr>
        <w:numPr>
          <w:ilvl w:val="0"/>
          <w:numId w:val="1001"/>
        </w:numPr>
      </w:pPr>
      <w:r>
        <w:t xml:space="preserve">Reconocer los fundamentos teóricos de la monitorización de la presión intracraneal (PIC) y sus principales parámetros.</w:t>
      </w:r>
    </w:p>
    <w:bookmarkEnd w:id="9"/>
    <w:bookmarkStart w:id="10" w:name="habilidades-skills"/>
    <w:p>
      <w:pPr>
        <w:pStyle w:val="Heading3"/>
      </w:pPr>
      <w:r>
        <w:t xml:space="preserve">1.2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distinguiendo patrones fisiológicos y patológicos.</w:t>
      </w:r>
    </w:p>
    <w:p>
      <w:pPr>
        <w:numPr>
          <w:ilvl w:val="0"/>
          <w:numId w:val="1002"/>
        </w:numPr>
      </w:pPr>
      <w:r>
        <w:t xml:space="preserve">Analizar datos procedentes de diferentes sistemas de monitorización intracraneal, integrándolos con la situación clínica del paciente.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relacionados con la hidrocefalia.</w:t>
      </w:r>
    </w:p>
    <w:bookmarkEnd w:id="10"/>
    <w:bookmarkStart w:id="11" w:name="competencias-clínicas"/>
    <w:p>
      <w:pPr>
        <w:pStyle w:val="Heading3"/>
      </w:pPr>
      <w:r>
        <w:t xml:space="preserve">1.3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 en pacientes con hidrocefalia.</w:t>
      </w:r>
    </w:p>
    <w:p>
      <w:pPr>
        <w:numPr>
          <w:ilvl w:val="0"/>
          <w:numId w:val="1003"/>
        </w:numPr>
      </w:pPr>
      <w:r>
        <w:t xml:space="preserve">Valorar la indicación, utilidad y limitaciones de las distintas estrategias terapéuticas disponibles.</w:t>
      </w:r>
    </w:p>
    <w:p>
      <w:pPr>
        <w:numPr>
          <w:ilvl w:val="0"/>
          <w:numId w:val="1003"/>
        </w:numPr>
      </w:pPr>
      <w:r>
        <w:t xml:space="preserve">Evaluar la respuesta al tratamiento mediante la interpretación de parámetros clínicos y de monitorización.</w:t>
      </w:r>
    </w:p>
    <w:p>
      <w:pPr>
        <w:numPr>
          <w:ilvl w:val="0"/>
          <w:numId w:val="1003"/>
        </w:numPr>
      </w:pPr>
      <w:r>
        <w:t xml:space="preserve">Aplicar un razonamiento clínico estructurado en el manejo de casos complejos de alteraciones de la dinámica del LCR.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2026-06-10T10:08:31Z</dcterms:created>
  <dcterms:modified xsi:type="dcterms:W3CDTF">2026-06-10T10:08:31Z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