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BodyText"/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3" w:name="X36d5e9de734f3314732d8bf226179190e19b636"/>
    <w:p>
      <w:pPr>
        <w:pStyle w:val="Heading3"/>
      </w:pPr>
      <w:r>
        <w:t xml:space="preserve">0.4 Módulo 1.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Nelson Barrientos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4"/>
      </w:pPr>
      <w:r>
        <w:t xml:space="preserve">0.4.1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22" w:name="webinar-16.09.2026-1900---2100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D. López Bermeo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Módulo 2. Actualizaciones sobre los conceptos de hidrocefalia**</w:t>
      </w:r>
    </w:p>
    <w:p>
      <w:pPr>
        <w:numPr>
          <w:ilvl w:val="0"/>
          <w:numId w:val="1006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6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6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7" w:name="X7ecf518342b4fffb2b4737e799c452de27a5e73"/>
    <w:p>
      <w:pPr>
        <w:pStyle w:val="Heading3"/>
      </w:pPr>
      <w:r>
        <w:t xml:space="preserve">1.3 Webinar (7 de octubre, 19:00 horas)**. Lifelong implications in the diagnosis and management of Hydrocephalus.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Start w:id="19" w:name="X3198d81f49e008158305c14e6b6752b9ef3dd4c"/>
    <w:p>
      <w:pPr>
        <w:pStyle w:val="Heading3"/>
      </w:pPr>
      <w:r>
        <w:t xml:space="preserve">1.4 Módulo 3. Métodos diagnósticos. Conceptos básicos sobre la presión intracraneal.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09"/>
        </w:numPr>
      </w:pPr>
      <w:r>
        <w:t xml:space="preserve">Tipos de sensores de PIC. Ventajas e inconvenientes.</w:t>
      </w:r>
      <w:r>
        <w:t xml:space="preserve"> </w:t>
      </w:r>
      <w:r>
        <w:rPr>
          <w:b/>
          <w:bCs/>
        </w:rPr>
        <w:t xml:space="preserve">M. A. Poca</w:t>
      </w:r>
      <w:r>
        <w:br/>
      </w:r>
    </w:p>
    <w:p>
      <w:pPr>
        <w:numPr>
          <w:ilvl w:val="0"/>
          <w:numId w:val="1009"/>
        </w:numPr>
      </w:pPr>
      <w:r>
        <w:t xml:space="preserve">Los sensores epidurales aplicados al estudio de la hidrocefalia.</w:t>
      </w:r>
      <w:r>
        <w:t xml:space="preserve"> </w:t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09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Características diferenciales de la monitorización de la PIC en los niños con hidrocefalia.</w:t>
      </w:r>
      <w:r>
        <w:br/>
      </w:r>
      <w:r>
        <w:rPr>
          <w:b/>
          <w:bCs/>
        </w:rPr>
        <w:t xml:space="preserve">M. A. Poca</w:t>
      </w:r>
    </w:p>
    <w:bookmarkStart w:id="18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3 (control de calidad)</w:t>
      </w:r>
    </w:p>
    <w:bookmarkEnd w:id="18"/>
    <w:bookmarkEnd w:id="19"/>
    <w:bookmarkStart w:id="21" w:name="Xe66d7d78fe1f97caf6053f00a5ca5f5f89bcbf7"/>
    <w:p>
      <w:pPr>
        <w:pStyle w:val="Heading3"/>
      </w:pPr>
      <w:r>
        <w:t xml:space="preserve">1.5 Webinar. Taller sobre el registro de PIC mediante un equipo digital (PowerLab 4SP y el programa LabChart 8).</w:t>
      </w:r>
    </w:p>
    <w:p>
      <w:pPr>
        <w:pStyle w:val="Compact"/>
        <w:numPr>
          <w:ilvl w:val="0"/>
          <w:numId w:val="1011"/>
        </w:numPr>
      </w:pPr>
      <w:r>
        <w:t xml:space="preserve">Fecha: 28 octubre (19:00 a 21:00)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Presentación: M.A. Poca</w:t>
      </w:r>
    </w:p>
    <w:p>
      <w:pPr>
        <w:pStyle w:val="Compact"/>
        <w:numPr>
          <w:ilvl w:val="0"/>
          <w:numId w:val="1011"/>
        </w:numPr>
      </w:pPr>
      <w:r>
        <w:t xml:space="preserve">Moderación: J. Sahuquillo</w:t>
      </w:r>
    </w:p>
    <w:bookmarkStart w:id="20" w:name="Xb147427f727b7d2c10ead1ed83fc8bf00882a71"/>
    <w:p>
      <w:pPr>
        <w:pStyle w:val="Heading4"/>
      </w:pPr>
      <w:r>
        <w:t xml:space="preserve">1.5.1 Módulo 4. Métodos diagnósticos. Conceptos avanzados sobre presión intracraneal</w:t>
      </w:r>
    </w:p>
    <w:p>
      <w:pPr>
        <w:pStyle w:val="Compact"/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pStyle w:val="Compact"/>
        <w:numPr>
          <w:ilvl w:val="0"/>
          <w:numId w:val="1012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Las ondas A o ‘plateau’. M. A. Poca Ondas B o beta. M. A. Poca Ondas C. J. Sahuquillo Deconstruyendo el registro de PIC: ondas cardiacas y respiratorias. J. Sahuquillo Como informar un registro de PIC cuando se utiliza con carácter diagnóstico. K. Rosas Webinar. Valoración de casos clínicos y registros de PIC. D. López-Bermeo y J. Sahuquillo Moderación: M.A. Poca (18 de noviembre, 19:00 horas)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2026-06-10T10:08:32Z</dcterms:created>
  <dcterms:modified xsi:type="dcterms:W3CDTF">2026-06-10T10:08:32Z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