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q2c7paojj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Home Cook Meal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models a multi-role platform that connects customers with home cooks, enabling customers to browse, order, and rate home-cooked meals. It allows home cooks to manage their profiles, availability, menu, and payments. Admins oversee platform functionality, user accounts, disputes, and analytics.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List of Collections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meals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tickets</w:t>
        <w:br w:type="textWrapping"/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 Modeling Strategy: Embedding vs Referencing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used a </w:t>
      </w:r>
      <w:r w:rsidDel="00000000" w:rsidR="00000000" w:rsidRPr="00000000">
        <w:rPr>
          <w:b w:val="1"/>
          <w:rtl w:val="0"/>
        </w:rPr>
        <w:t xml:space="preserve">hybrid approach</w:t>
      </w:r>
      <w:r w:rsidDel="00000000" w:rsidR="00000000" w:rsidRPr="00000000">
        <w:rPr>
          <w:rtl w:val="0"/>
        </w:rPr>
        <w:t xml:space="preserve"> — embedding where data is tightly coupled, and referencing where reuse and scalability are priorities.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wnq3scvzg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users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Embedded address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) and profile info for quicker access.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User information like address or profile photo is frequently accessed together, so it's embedded. References are used elsewhere to prevent duplication.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f9fw7ba69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🍽️ meals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cookId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collection.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Meals belong to cooks but are accessed independently (search, filters). Referencing allows reuse and indexing.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2ijbarfb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🛒 orders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Embedded array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</w:t>
      </w:r>
      <w:r w:rsidDel="00000000" w:rsidR="00000000" w:rsidRPr="00000000">
        <w:rPr>
          <w:rtl w:val="0"/>
        </w:rPr>
        <w:t xml:space="preserve"> (each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mealId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Order items are tightly coupled with the order document. Cook and user are referenced for traceability and analytics.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t8oxvz29q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💳 payments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Payments should be separated from orders for financial audit trails and reporting.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j832uorphp" w:id="5"/>
      <w:bookmarkEnd w:id="5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6"/>
          <w:szCs w:val="26"/>
          <w:rtl w:val="0"/>
        </w:rPr>
        <w:t xml:space="preserve">⭐ reviews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mealId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Reviews are loosely coupled and often displayed on meal or user profiles, making referencing ideal.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o5t8fm770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tickets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Embedded array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(each with sender, text, timestamp).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Messages are inherently linked to their ticket and don’t need querying outside that context. User is referenced for history and ownership.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