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/>
          <w:b/>
          <w:sz w:val="32"/>
        </w:rPr>
        <w:t>Industrial Inventory Control using Reinforcement Learning</w:t>
      </w:r>
    </w:p>
    <w:p>
      <w:pPr>
        <w:spacing w:after="60"/>
        <w:jc w:val="center"/>
      </w:pPr>
      <w:r>
        <w:rPr>
          <w:rFonts w:ascii="Arial" w:hAnsi="Arial"/>
          <w:b w:val="0"/>
          <w:sz w:val="18"/>
        </w:rPr>
        <w:t>IITM Web M.Tech Program | Course ID 6002W | Roll No. DA25M579 | Variant V030</w:t>
      </w:r>
    </w:p>
    <w:p>
      <w:pPr>
        <w:pStyle w:val="Heading1"/>
        <w:spacing w:before="100" w:after="60"/>
      </w:pPr>
      <w:r>
        <w:t>1. Implementation summary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Five distinct reinforcement-learning techniques were developed and evaluated using the supplied Gymnasium environment and the frozen V030 configuration. The final portfolio is PPO, DQN, Neural Network SARSA, A2C and Double DQN.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Technique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Implementation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Representation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Key training choice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Public mean cost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PPO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SB3 PPO; MultiDiscrete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76-D Representation B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500K; lr 6e-4; seed 20260727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83,610.75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DQN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Joint-action neural Q-learning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35-D hand-engineered; 1331 actions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150K; lr 5e-4; 256x256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90,670.62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Neural SARSA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True SARSA target; replay of actual next action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76-D Representation B; 1331 actions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500K; lr 3e-4; gamma .98; seed 20260825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113,072.38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A2C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Synchronous actor-critic; MultiDiscrete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99-D Representation C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500K; lr 5e-4; gamma .99; 256x256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94,660.12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Double DQN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Online argmax + target evaluation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35-D hand-engineered; 1331 actions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100K; lr 5e-4; gamma .98; 256x256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115,819.00</w:t>
            </w:r>
          </w:p>
        </w:tc>
      </w:tr>
    </w:tbl>
    <w:p>
      <w:pPr>
        <w:pStyle w:val="Heading1"/>
        <w:spacing w:before="100" w:after="60"/>
      </w:pPr>
      <w:r>
        <w:t>2. Experimental approach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The official observation contains current inventory, the four-day arrival pipeline, seven-day demand history, day index and capacity utilisation. External policies return exactly three quantities in {0,10,...,100}; the DQN-family joint-action methods use the 11 x 11 x 11 action catalogue. The supplied environment, official cost function and leaderboard evaluator were not modified.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Representation B combines 38 normalized raw features with 38 engineered inventory-control features: inventory position, recent demand statistics, trend/variability, lead-time pipeline quantities, lead-time demand, inventory-position gap, days of supply, and capacity/horizon signals. Early zero-padding is excluded from demand-history statistics. Representation C adds EWMA demand, slope, demand CV, recent extrema, lead-time demand uncertainty, safety-stock and weekly phase signals.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The official reward is negative daily total cost divided by 100. Where used, ShapedReward is training-only and annealed to zero. All reported local and public metrics use official unshaped cost. The local official-style holdout is 40 seeds (900-939) across stationary, seasonal, trend, shock and random scenarios, totaling 200 episodes.</w:t>
      </w:r>
    </w:p>
    <w:p>
      <w:pPr>
        <w:pStyle w:val="Heading1"/>
        <w:spacing w:before="100" w:after="60"/>
      </w:pPr>
      <w:r>
        <w:t>3. Results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The final public Top-5 average is 99,566.57. The A2C slot was improved by replacing the previous A2C public result of 114,047.62 with the Representation C policy scoring 94,660.12 publicly and 94,180.86 on the official 200-episode local holdout.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Technique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Public score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Local mean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Local std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/>
                <w:sz w:val="16"/>
              </w:rPr>
              <w:t>Service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PPO + Rep-B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83,610.75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83,039.20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9,777.14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0.992973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DQN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90,670.62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96,871.30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11,858.00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0.988895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A2C + Rep-C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94,660.12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94,180.86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7,961.56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0.994717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Neural Network SARSA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113,072.38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111,730.60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9,941.00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0.992882</w:t>
            </w:r>
          </w:p>
        </w:tc>
      </w:tr>
      <w:tr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Double DQN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115,819.00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N/A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N/A</w:t>
            </w:r>
          </w:p>
        </w:tc>
        <w:tc>
          <w:tcPr>
            <w:tcW w:type="dxa" w:w="2091"/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b w:val="0"/>
                <w:sz w:val="16"/>
              </w:rPr>
              <w:t>N/A</w:t>
            </w:r>
          </w:p>
        </w:tc>
      </w:tr>
    </w:tbl>
    <w:p>
      <w:pPr>
        <w:spacing w:after="60"/>
        <w:jc w:val="center"/>
      </w:pPr>
      <w:r>
        <w:rPr>
          <w:rFonts w:ascii="Arial" w:hAnsi="Arial"/>
          <w:b/>
          <w:sz w:val="18"/>
        </w:rPr>
        <w:t>Figure 1. Public leaderboard mean cost by final technique.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87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public_sco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7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A2C Representation C official holdout scenario means: random 94,911.88; seasonal 92,426.00; shock 95,611.69; stationary 92,332.50; trend 95,622.25. Overall mean cost 94,180.86 and mean service 0.994717.</w:t>
      </w:r>
    </w:p>
    <w:p>
      <w:pPr>
        <w:spacing w:after="60"/>
        <w:jc w:val="center"/>
      </w:pPr>
      <w:r>
        <w:rPr>
          <w:rFonts w:ascii="Arial" w:hAnsi="Arial"/>
          <w:b/>
          <w:sz w:val="18"/>
        </w:rPr>
        <w:t>Figure 2. A2C Representation C official holdout cost by scenario.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82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c_scenario_co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82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before="100" w:after="60"/>
      </w:pPr>
      <w:r>
        <w:t>4. Observations and inference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PPO and DQN remain the strongest public methods, while the A2C Representation C replacement is the largest portfolio improvement achieved in the final tuning cycle. The A2C result indicates that richer short-history and uncertainty features can materially improve actor-critic inventory decisions when derived only from the documented observation.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Neural Network SARSA was retained because its earlier public artifact remains stronger than the final refinement. The last refinement achieved 124,306.75 in screening but 117,164.21 on the official 200-episode holdout and therefore was not promoted. Targeted Double DQN tuning also failed to improve the protected artifact; the best screening run exceeded 1.2 million cost.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A key limitation is that public/private evaluation scenarios and hidden parameters are unavailable at inference time. Final selection therefore prioritised robustness across the official holdout rather than optimisation of a single known scenario.</w:t>
      </w:r>
    </w:p>
    <w:p>
      <w:pPr>
        <w:pStyle w:val="Heading1"/>
        <w:spacing w:before="100" w:after="60"/>
      </w:pPr>
      <w:r>
        <w:t>5. Reproducibility and submission mapping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The submission contract is run_policy(observation) -&gt; [q1,q2,q3], with each quantity an integer in {0,10,...,100}. Policies perform inference only. They do not train, call env.step() or env.reset(), access future demand or scenario identity, or use the internet.</w:t>
      </w:r>
    </w:p>
    <w:p>
      <w:pPr>
        <w:spacing w:after="60"/>
        <w:jc w:val="left"/>
      </w:pPr>
      <w:r>
        <w:rPr>
          <w:rFonts w:ascii="Arial" w:hAnsi="Arial"/>
          <w:b w:val="0"/>
          <w:sz w:val="18"/>
        </w:rPr>
        <w:t>Final artifacts: submissions/ppo/policy.py + model.zip; submissions/dqn/policy.py + model.zip; submissions/neural_sarsa/policy.py + policy_state.pt; submissions/a2c/policy.py + model.zip; submissions/double_dqn/policy.py + model.zip. The final notebook records training recipes, state/action representations, validation evidence, export paths and validator commands.</w:t>
      </w:r>
    </w:p>
    <w:sectPr w:rsidR="00FC693F" w:rsidRPr="0006063C" w:rsidSect="00034616">
      <w:footerReference w:type="default" r:id="rId11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5"/>
      </w:rPr>
      <w:t>IITM RL Course Project 2026 | DA25M579 | V030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