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Industrial Inventory Control using Reinforcement Learning</w:t>
      </w:r>
    </w:p>
    <w:p>
      <w:pPr>
        <w:jc w:val="center"/>
      </w:pPr>
      <w:r>
        <w:rPr>
          <w:b/>
          <w:sz w:val="19"/>
        </w:rPr>
        <w:t>IITM Web M.Tech Program | Course ID 6002W | Roll No. DA25M579 | Variant V030</w:t>
      </w:r>
    </w:p>
    <w:p>
      <w:pPr>
        <w:pStyle w:val="Heading1"/>
      </w:pPr>
      <w:r>
        <w:t>1. Implementation Summary</w:t>
      </w:r>
    </w:p>
    <w:p>
      <w:r>
        <w:t>Five distinct reinforcement-learning techniques were developed and evaluated using the supplied Gymnasium environment and the assigned V030 configuration. The final portfolio is PPO, DQN, Neural Network SARSA, A2C, and Double DQN. PPO, Neural Network SARSA and the final Double DQN candidate use the 76-dimensional Representation B; DQN and A2C retain the 35-dimensional hand-engineered representation.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D9EAF7"/>
          </w:tcPr>
          <w:p>
            <w:r/>
            <w:r>
              <w:rPr>
                <w:rFonts w:ascii="Arial" w:hAnsi="Arial"/>
                <w:b/>
                <w:sz w:val="16"/>
              </w:rPr>
              <w:t>Technique</w:t>
            </w:r>
          </w:p>
        </w:tc>
        <w:tc>
          <w:tcPr>
            <w:tcW w:type="dxa" w:w="2628"/>
            <w:vAlign w:val="center"/>
            <w:shd w:fill="D9EAF7"/>
          </w:tcPr>
          <w:p>
            <w:r/>
            <w:r>
              <w:rPr>
                <w:rFonts w:ascii="Arial" w:hAnsi="Arial"/>
                <w:b/>
                <w:sz w:val="16"/>
              </w:rPr>
              <w:t>Implementation</w:t>
            </w:r>
          </w:p>
        </w:tc>
        <w:tc>
          <w:tcPr>
            <w:tcW w:type="dxa" w:w="2628"/>
            <w:vAlign w:val="center"/>
            <w:shd w:fill="D9EAF7"/>
          </w:tcPr>
          <w:p>
            <w:r/>
            <w:r>
              <w:rPr>
                <w:rFonts w:ascii="Arial" w:hAnsi="Arial"/>
                <w:b/>
                <w:sz w:val="16"/>
              </w:rPr>
              <w:t>Key configuration</w:t>
            </w:r>
          </w:p>
        </w:tc>
        <w:tc>
          <w:tcPr>
            <w:tcW w:type="dxa" w:w="2628"/>
            <w:vAlign w:val="center"/>
            <w:shd w:fill="D9EAF7"/>
          </w:tcPr>
          <w:p>
            <w:r/>
            <w:r>
              <w:rPr>
                <w:rFonts w:ascii="Arial" w:hAnsi="Arial"/>
                <w:b/>
                <w:sz w:val="16"/>
              </w:rPr>
              <w:t>Current public result</w:t>
            </w:r>
          </w:p>
        </w:tc>
      </w:tr>
      <w:tr>
        <w:tc>
          <w:tcPr>
            <w:tcW w:type="dxa" w:w="2628"/>
            <w:vAlign w:val="center"/>
          </w:tcPr>
          <w:p>
            <w:r/>
            <w:r>
              <w:rPr>
                <w:rFonts w:ascii="Arial" w:hAnsi="Arial"/>
                <w:b w:val="0"/>
                <w:sz w:val="16"/>
              </w:rPr>
              <w:t>PPO</w:t>
            </w:r>
          </w:p>
        </w:tc>
        <w:tc>
          <w:tcPr>
            <w:tcW w:type="dxa" w:w="2628"/>
            <w:vAlign w:val="center"/>
          </w:tcPr>
          <w:p>
            <w:r/>
            <w:r>
              <w:rPr>
                <w:rFonts w:ascii="Arial" w:hAnsi="Arial"/>
                <w:b w:val="0"/>
                <w:sz w:val="16"/>
              </w:rPr>
              <w:t>SB3 PPO with MultiDiscrete action head; Representation B</w:t>
            </w:r>
          </w:p>
        </w:tc>
        <w:tc>
          <w:tcPr>
            <w:tcW w:type="dxa" w:w="2628"/>
            <w:vAlign w:val="center"/>
          </w:tcPr>
          <w:p>
            <w:r/>
            <w:r>
              <w:rPr>
                <w:rFonts w:ascii="Arial" w:hAnsi="Arial"/>
                <w:b w:val="0"/>
                <w:sz w:val="16"/>
              </w:rPr>
              <w:t>500K; lr=6e-4; seed 20260727</w:t>
            </w:r>
          </w:p>
        </w:tc>
        <w:tc>
          <w:tcPr>
            <w:tcW w:type="dxa" w:w="2628"/>
            <w:vAlign w:val="center"/>
          </w:tcPr>
          <w:p>
            <w:r/>
            <w:r>
              <w:rPr>
                <w:rFonts w:ascii="Arial" w:hAnsi="Arial"/>
                <w:b w:val="0"/>
                <w:sz w:val="16"/>
              </w:rPr>
              <w:t>83,610.75</w:t>
            </w:r>
          </w:p>
        </w:tc>
      </w:tr>
      <w:tr>
        <w:tc>
          <w:tcPr>
            <w:tcW w:type="dxa" w:w="2628"/>
            <w:vAlign w:val="center"/>
          </w:tcPr>
          <w:p>
            <w:r/>
            <w:r>
              <w:rPr>
                <w:rFonts w:ascii="Arial" w:hAnsi="Arial"/>
                <w:b w:val="0"/>
                <w:sz w:val="16"/>
              </w:rPr>
              <w:t>DQN</w:t>
            </w:r>
          </w:p>
        </w:tc>
        <w:tc>
          <w:tcPr>
            <w:tcW w:type="dxa" w:w="2628"/>
            <w:vAlign w:val="center"/>
          </w:tcPr>
          <w:p>
            <w:r/>
            <w:r>
              <w:rPr>
                <w:rFonts w:ascii="Arial" w:hAnsi="Arial"/>
                <w:b w:val="0"/>
                <w:sz w:val="16"/>
              </w:rPr>
              <w:t>Joint-action neural Q-learning; Discrete(1331)</w:t>
            </w:r>
          </w:p>
        </w:tc>
        <w:tc>
          <w:tcPr>
            <w:tcW w:type="dxa" w:w="2628"/>
            <w:vAlign w:val="center"/>
          </w:tcPr>
          <w:p>
            <w:r/>
            <w:r>
              <w:rPr>
                <w:rFonts w:ascii="Arial" w:hAnsi="Arial"/>
                <w:b w:val="0"/>
                <w:sz w:val="16"/>
              </w:rPr>
              <w:t>150K; lr=5e-4; 256x256</w:t>
            </w:r>
          </w:p>
        </w:tc>
        <w:tc>
          <w:tcPr>
            <w:tcW w:type="dxa" w:w="2628"/>
            <w:vAlign w:val="center"/>
          </w:tcPr>
          <w:p>
            <w:r/>
            <w:r>
              <w:rPr>
                <w:rFonts w:ascii="Arial" w:hAnsi="Arial"/>
                <w:b w:val="0"/>
                <w:sz w:val="16"/>
              </w:rPr>
              <w:t>90,670.62</w:t>
            </w:r>
          </w:p>
        </w:tc>
      </w:tr>
      <w:tr>
        <w:tc>
          <w:tcPr>
            <w:tcW w:type="dxa" w:w="2628"/>
            <w:vAlign w:val="center"/>
          </w:tcPr>
          <w:p>
            <w:r/>
            <w:r>
              <w:rPr>
                <w:rFonts w:ascii="Arial" w:hAnsi="Arial"/>
                <w:b w:val="0"/>
                <w:sz w:val="16"/>
              </w:rPr>
              <w:t>Neural Network SARSA</w:t>
            </w:r>
          </w:p>
        </w:tc>
        <w:tc>
          <w:tcPr>
            <w:tcW w:type="dxa" w:w="2628"/>
            <w:vAlign w:val="center"/>
          </w:tcPr>
          <w:p>
            <w:r/>
            <w:r>
              <w:rPr>
                <w:rFonts w:ascii="Arial" w:hAnsi="Arial"/>
                <w:b w:val="0"/>
                <w:sz w:val="16"/>
              </w:rPr>
              <w:t>True SARSA target; replay stores actual next behavior action; Rep-B</w:t>
            </w:r>
          </w:p>
        </w:tc>
        <w:tc>
          <w:tcPr>
            <w:tcW w:type="dxa" w:w="2628"/>
            <w:vAlign w:val="center"/>
          </w:tcPr>
          <w:p>
            <w:r/>
            <w:r>
              <w:rPr>
                <w:rFonts w:ascii="Arial" w:hAnsi="Arial"/>
                <w:b w:val="0"/>
                <w:sz w:val="16"/>
              </w:rPr>
              <w:t>500K; lr=3e-4; gamma=.98; seed 20260825</w:t>
            </w:r>
          </w:p>
        </w:tc>
        <w:tc>
          <w:tcPr>
            <w:tcW w:type="dxa" w:w="2628"/>
            <w:vAlign w:val="center"/>
          </w:tcPr>
          <w:p>
            <w:r/>
            <w:r>
              <w:rPr>
                <w:rFonts w:ascii="Arial" w:hAnsi="Arial"/>
                <w:b w:val="0"/>
                <w:sz w:val="16"/>
              </w:rPr>
              <w:t>113,072.38</w:t>
            </w:r>
          </w:p>
        </w:tc>
      </w:tr>
      <w:tr>
        <w:tc>
          <w:tcPr>
            <w:tcW w:type="dxa" w:w="2628"/>
            <w:vAlign w:val="center"/>
          </w:tcPr>
          <w:p>
            <w:r/>
            <w:r>
              <w:rPr>
                <w:rFonts w:ascii="Arial" w:hAnsi="Arial"/>
                <w:b w:val="0"/>
                <w:sz w:val="16"/>
              </w:rPr>
              <w:t>A2C</w:t>
            </w:r>
          </w:p>
        </w:tc>
        <w:tc>
          <w:tcPr>
            <w:tcW w:type="dxa" w:w="2628"/>
            <w:vAlign w:val="center"/>
          </w:tcPr>
          <w:p>
            <w:r/>
            <w:r>
              <w:rPr>
                <w:rFonts w:ascii="Arial" w:hAnsi="Arial"/>
                <w:b w:val="0"/>
                <w:sz w:val="16"/>
              </w:rPr>
              <w:t>Synchronous actor-critic; MultiDiscrete action space</w:t>
            </w:r>
          </w:p>
        </w:tc>
        <w:tc>
          <w:tcPr>
            <w:tcW w:type="dxa" w:w="2628"/>
            <w:vAlign w:val="center"/>
          </w:tcPr>
          <w:p>
            <w:r/>
            <w:r>
              <w:rPr>
                <w:rFonts w:ascii="Arial" w:hAnsi="Arial"/>
                <w:b w:val="0"/>
                <w:sz w:val="16"/>
              </w:rPr>
              <w:t>200K; lr=7e-4; 128x128</w:t>
            </w:r>
          </w:p>
        </w:tc>
        <w:tc>
          <w:tcPr>
            <w:tcW w:type="dxa" w:w="2628"/>
            <w:vAlign w:val="center"/>
          </w:tcPr>
          <w:p>
            <w:r/>
            <w:r>
              <w:rPr>
                <w:rFonts w:ascii="Arial" w:hAnsi="Arial"/>
                <w:b w:val="0"/>
                <w:sz w:val="16"/>
              </w:rPr>
              <w:t>114,047.62</w:t>
            </w:r>
          </w:p>
        </w:tc>
      </w:tr>
      <w:tr>
        <w:tc>
          <w:tcPr>
            <w:tcW w:type="dxa" w:w="2628"/>
            <w:vAlign w:val="center"/>
          </w:tcPr>
          <w:p>
            <w:r/>
            <w:r>
              <w:rPr>
                <w:rFonts w:ascii="Arial" w:hAnsi="Arial"/>
                <w:b w:val="0"/>
                <w:sz w:val="16"/>
              </w:rPr>
              <w:t>Double DQN</w:t>
            </w:r>
          </w:p>
        </w:tc>
        <w:tc>
          <w:tcPr>
            <w:tcW w:type="dxa" w:w="2628"/>
            <w:vAlign w:val="center"/>
          </w:tcPr>
          <w:p>
            <w:r/>
            <w:r>
              <w:rPr>
                <w:rFonts w:ascii="Arial" w:hAnsi="Arial"/>
                <w:b w:val="0"/>
                <w:sz w:val="16"/>
              </w:rPr>
              <w:t>Online next-action selection + target evaluation with a 256x256 dueling joint-action network</w:t>
            </w:r>
          </w:p>
        </w:tc>
        <w:tc>
          <w:tcPr>
            <w:tcW w:type="dxa" w:w="2628"/>
            <w:vAlign w:val="center"/>
          </w:tcPr>
          <w:p>
            <w:r/>
            <w:r>
              <w:rPr>
                <w:rFonts w:ascii="Arial" w:hAnsi="Arial"/>
                <w:b w:val="0"/>
                <w:sz w:val="16"/>
              </w:rPr>
              <w:t>100K; lr=5e-4; gamma=.98; seed 20260727</w:t>
            </w:r>
          </w:p>
        </w:tc>
        <w:tc>
          <w:tcPr>
            <w:tcW w:type="dxa" w:w="2628"/>
            <w:vAlign w:val="center"/>
          </w:tcPr>
          <w:p>
            <w:r/>
            <w:r>
              <w:rPr>
                <w:rFonts w:ascii="Arial" w:hAnsi="Arial"/>
                <w:b w:val="0"/>
                <w:sz w:val="16"/>
              </w:rPr>
              <w:t>115,819.00 current; new local candidate 111,216.54</w:t>
            </w:r>
          </w:p>
        </w:tc>
      </w:tr>
    </w:tbl>
    <w:p>
      <w:pPr>
        <w:pStyle w:val="Heading1"/>
      </w:pPr>
      <w:r>
        <w:t>2. Experimental Approach</w:t>
      </w:r>
    </w:p>
    <w:p>
      <w:pPr>
        <w:pStyle w:val="Heading2"/>
      </w:pPr>
      <w:r>
        <w:t>State and action representation</w:t>
      </w:r>
    </w:p>
    <w:p>
      <w:r>
        <w:t>The official observation contains current inventory, the four-day arrival pipeline, seven-day demand history, day index and capacity utilisation. Representation B concatenates 38 normalized raw features with 38 engineered features covering inventory position, recent demand statistics, demand trend and variability, lead-time pipeline quantities, lead-time demand, inventory-position gap, days of supply, and capacity/horizon signals. Early-episode zero padding is excluded from real-history statistics. The external policy interface returns three quantities in {0,10,...,100}; the DQN family uses the full 1,331 joint action space internally via base-11 encoding.</w:t>
      </w:r>
    </w:p>
    <w:p>
      <w:pPr>
        <w:pStyle w:val="Heading2"/>
      </w:pPr>
      <w:r>
        <w:t>Reward and validation</w:t>
      </w:r>
    </w:p>
    <w:p>
      <w:r>
        <w:t>The official reward is negative daily total cost divided by 100. Training-time ShapedReward adds dense stockout, capacity/discarding and mild batching terms and anneals them to zero. All local validation and leaderboard numbers use the official unshaped cost. Local validation used the supplied environment with held-out seeds and the declared scenario modes. The final Double DQN candidate was evaluated over 200 episodes and achieved mean cost 111,216.54, standard deviation 14,914.34 and mean service level 0.980340.</w:t>
      </w:r>
    </w:p>
    <w:p>
      <w:pPr>
        <w:pStyle w:val="Heading1"/>
      </w:pPr>
      <w:r>
        <w:t>3. Results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shd w:fill="D9EAF7"/>
          </w:tcPr>
          <w:p>
            <w:r/>
            <w:r>
              <w:rPr>
                <w:rFonts w:ascii="Arial" w:hAnsi="Arial"/>
                <w:b/>
                <w:sz w:val="16"/>
              </w:rPr>
              <w:t>Technique</w:t>
            </w:r>
          </w:p>
        </w:tc>
        <w:tc>
          <w:tcPr>
            <w:tcW w:type="dxa" w:w="2102"/>
            <w:vAlign w:val="center"/>
            <w:shd w:fill="D9EAF7"/>
          </w:tcPr>
          <w:p>
            <w:r/>
            <w:r>
              <w:rPr>
                <w:rFonts w:ascii="Arial" w:hAnsi="Arial"/>
                <w:b/>
                <w:sz w:val="16"/>
              </w:rPr>
              <w:t>Local mean cost</w:t>
            </w:r>
          </w:p>
        </w:tc>
        <w:tc>
          <w:tcPr>
            <w:tcW w:type="dxa" w:w="2102"/>
            <w:vAlign w:val="center"/>
            <w:shd w:fill="D9EAF7"/>
          </w:tcPr>
          <w:p>
            <w:r/>
            <w:r>
              <w:rPr>
                <w:rFonts w:ascii="Arial" w:hAnsi="Arial"/>
                <w:b/>
                <w:sz w:val="16"/>
              </w:rPr>
              <w:t>Local std</w:t>
            </w:r>
          </w:p>
        </w:tc>
        <w:tc>
          <w:tcPr>
            <w:tcW w:type="dxa" w:w="2102"/>
            <w:vAlign w:val="center"/>
            <w:shd w:fill="D9EAF7"/>
          </w:tcPr>
          <w:p>
            <w:r/>
            <w:r>
              <w:rPr>
                <w:rFonts w:ascii="Arial" w:hAnsi="Arial"/>
                <w:b/>
                <w:sz w:val="16"/>
              </w:rPr>
              <w:t>Service</w:t>
            </w:r>
          </w:p>
        </w:tc>
        <w:tc>
          <w:tcPr>
            <w:tcW w:type="dxa" w:w="2102"/>
            <w:vAlign w:val="center"/>
            <w:shd w:fill="D9EAF7"/>
          </w:tcPr>
          <w:p>
            <w:r/>
            <w:r>
              <w:rPr>
                <w:rFonts w:ascii="Arial" w:hAnsi="Arial"/>
                <w:b/>
                <w:sz w:val="16"/>
              </w:rPr>
              <w:t>Status</w:t>
            </w:r>
          </w:p>
        </w:tc>
      </w:tr>
      <w:tr>
        <w:tc>
          <w:tcPr>
            <w:tcW w:type="dxa" w:w="2102"/>
            <w:vAlign w:val="center"/>
          </w:tcPr>
          <w:p>
            <w:r/>
            <w:r>
              <w:rPr>
                <w:rFonts w:ascii="Arial" w:hAnsi="Arial"/>
                <w:b w:val="0"/>
                <w:sz w:val="16"/>
              </w:rPr>
              <w:t>PPO + Rep-B</w:t>
            </w:r>
          </w:p>
        </w:tc>
        <w:tc>
          <w:tcPr>
            <w:tcW w:type="dxa" w:w="2102"/>
            <w:vAlign w:val="center"/>
          </w:tcPr>
          <w:p>
            <w:r/>
            <w:r>
              <w:rPr>
                <w:rFonts w:ascii="Arial" w:hAnsi="Arial"/>
                <w:b w:val="0"/>
                <w:sz w:val="16"/>
              </w:rPr>
              <w:t>83,039.20</w:t>
            </w:r>
          </w:p>
        </w:tc>
        <w:tc>
          <w:tcPr>
            <w:tcW w:type="dxa" w:w="2102"/>
            <w:vAlign w:val="center"/>
          </w:tcPr>
          <w:p>
            <w:r/>
            <w:r>
              <w:rPr>
                <w:rFonts w:ascii="Arial" w:hAnsi="Arial"/>
                <w:b w:val="0"/>
                <w:sz w:val="16"/>
              </w:rPr>
              <w:t>9,777.14</w:t>
            </w:r>
          </w:p>
        </w:tc>
        <w:tc>
          <w:tcPr>
            <w:tcW w:type="dxa" w:w="2102"/>
            <w:vAlign w:val="center"/>
          </w:tcPr>
          <w:p>
            <w:r/>
            <w:r>
              <w:rPr>
                <w:rFonts w:ascii="Arial" w:hAnsi="Arial"/>
                <w:b w:val="0"/>
                <w:sz w:val="16"/>
              </w:rPr>
              <w:t>0.992973</w:t>
            </w:r>
          </w:p>
        </w:tc>
        <w:tc>
          <w:tcPr>
            <w:tcW w:type="dxa" w:w="2102"/>
            <w:vAlign w:val="center"/>
          </w:tcPr>
          <w:p>
            <w:r/>
            <w:r>
              <w:rPr>
                <w:rFonts w:ascii="Arial" w:hAnsi="Arial"/>
                <w:b w:val="0"/>
                <w:sz w:val="16"/>
              </w:rPr>
              <w:t>Selected</w:t>
            </w:r>
          </w:p>
        </w:tc>
      </w:tr>
      <w:tr>
        <w:tc>
          <w:tcPr>
            <w:tcW w:type="dxa" w:w="2102"/>
            <w:vAlign w:val="center"/>
          </w:tcPr>
          <w:p>
            <w:r/>
            <w:r>
              <w:rPr>
                <w:rFonts w:ascii="Arial" w:hAnsi="Arial"/>
                <w:b w:val="0"/>
                <w:sz w:val="16"/>
              </w:rPr>
              <w:t>DQN</w:t>
            </w:r>
          </w:p>
        </w:tc>
        <w:tc>
          <w:tcPr>
            <w:tcW w:type="dxa" w:w="2102"/>
            <w:vAlign w:val="center"/>
          </w:tcPr>
          <w:p>
            <w:r/>
            <w:r>
              <w:rPr>
                <w:rFonts w:ascii="Arial" w:hAnsi="Arial"/>
                <w:b w:val="0"/>
                <w:sz w:val="16"/>
              </w:rPr>
              <w:t>96,871.30</w:t>
            </w:r>
          </w:p>
        </w:tc>
        <w:tc>
          <w:tcPr>
            <w:tcW w:type="dxa" w:w="2102"/>
            <w:vAlign w:val="center"/>
          </w:tcPr>
          <w:p>
            <w:r/>
            <w:r>
              <w:rPr>
                <w:rFonts w:ascii="Arial" w:hAnsi="Arial"/>
                <w:b w:val="0"/>
                <w:sz w:val="16"/>
              </w:rPr>
              <w:t>11,858</w:t>
            </w:r>
          </w:p>
        </w:tc>
        <w:tc>
          <w:tcPr>
            <w:tcW w:type="dxa" w:w="2102"/>
            <w:vAlign w:val="center"/>
          </w:tcPr>
          <w:p>
            <w:r/>
            <w:r>
              <w:rPr>
                <w:rFonts w:ascii="Arial" w:hAnsi="Arial"/>
                <w:b w:val="0"/>
                <w:sz w:val="16"/>
              </w:rPr>
              <w:t>0.988895</w:t>
            </w:r>
          </w:p>
        </w:tc>
        <w:tc>
          <w:tcPr>
            <w:tcW w:type="dxa" w:w="2102"/>
            <w:vAlign w:val="center"/>
          </w:tcPr>
          <w:p>
            <w:r/>
            <w:r>
              <w:rPr>
                <w:rFonts w:ascii="Arial" w:hAnsi="Arial"/>
                <w:b w:val="0"/>
                <w:sz w:val="16"/>
              </w:rPr>
              <w:t>Selected</w:t>
            </w:r>
          </w:p>
        </w:tc>
      </w:tr>
      <w:tr>
        <w:tc>
          <w:tcPr>
            <w:tcW w:type="dxa" w:w="2102"/>
            <w:vAlign w:val="center"/>
          </w:tcPr>
          <w:p>
            <w:r/>
            <w:r>
              <w:rPr>
                <w:rFonts w:ascii="Arial" w:hAnsi="Arial"/>
                <w:b w:val="0"/>
                <w:sz w:val="16"/>
              </w:rPr>
              <w:t>Neural Network SARSA</w:t>
            </w:r>
          </w:p>
        </w:tc>
        <w:tc>
          <w:tcPr>
            <w:tcW w:type="dxa" w:w="2102"/>
            <w:vAlign w:val="center"/>
          </w:tcPr>
          <w:p>
            <w:r/>
            <w:r>
              <w:rPr>
                <w:rFonts w:ascii="Arial" w:hAnsi="Arial"/>
                <w:b w:val="0"/>
                <w:sz w:val="16"/>
              </w:rPr>
              <w:t>111,730.60</w:t>
            </w:r>
          </w:p>
        </w:tc>
        <w:tc>
          <w:tcPr>
            <w:tcW w:type="dxa" w:w="2102"/>
            <w:vAlign w:val="center"/>
          </w:tcPr>
          <w:p>
            <w:r/>
            <w:r>
              <w:rPr>
                <w:rFonts w:ascii="Arial" w:hAnsi="Arial"/>
                <w:b w:val="0"/>
                <w:sz w:val="16"/>
              </w:rPr>
              <w:t>9,941</w:t>
            </w:r>
          </w:p>
        </w:tc>
        <w:tc>
          <w:tcPr>
            <w:tcW w:type="dxa" w:w="2102"/>
            <w:vAlign w:val="center"/>
          </w:tcPr>
          <w:p>
            <w:r/>
            <w:r>
              <w:rPr>
                <w:rFonts w:ascii="Arial" w:hAnsi="Arial"/>
                <w:b w:val="0"/>
                <w:sz w:val="16"/>
              </w:rPr>
              <w:t>0.992882</w:t>
            </w:r>
          </w:p>
        </w:tc>
        <w:tc>
          <w:tcPr>
            <w:tcW w:type="dxa" w:w="2102"/>
            <w:vAlign w:val="center"/>
          </w:tcPr>
          <w:p>
            <w:r/>
            <w:r>
              <w:rPr>
                <w:rFonts w:ascii="Arial" w:hAnsi="Arial"/>
                <w:b w:val="0"/>
                <w:sz w:val="16"/>
              </w:rPr>
              <w:t>Selected</w:t>
            </w:r>
          </w:p>
        </w:tc>
      </w:tr>
      <w:tr>
        <w:tc>
          <w:tcPr>
            <w:tcW w:type="dxa" w:w="2102"/>
            <w:vAlign w:val="center"/>
          </w:tcPr>
          <w:p>
            <w:r/>
            <w:r>
              <w:rPr>
                <w:rFonts w:ascii="Arial" w:hAnsi="Arial"/>
                <w:b w:val="0"/>
                <w:sz w:val="16"/>
              </w:rPr>
              <w:t>A2C</w:t>
            </w:r>
          </w:p>
        </w:tc>
        <w:tc>
          <w:tcPr>
            <w:tcW w:type="dxa" w:w="2102"/>
            <w:vAlign w:val="center"/>
          </w:tcPr>
          <w:p>
            <w:r/>
            <w:r>
              <w:rPr>
                <w:rFonts w:ascii="Arial" w:hAnsi="Arial"/>
                <w:b w:val="0"/>
                <w:sz w:val="16"/>
              </w:rPr>
              <w:t>114,669.10</w:t>
            </w:r>
          </w:p>
        </w:tc>
        <w:tc>
          <w:tcPr>
            <w:tcW w:type="dxa" w:w="2102"/>
            <w:vAlign w:val="center"/>
          </w:tcPr>
          <w:p>
            <w:r/>
            <w:r>
              <w:rPr>
                <w:rFonts w:ascii="Arial" w:hAnsi="Arial"/>
                <w:b w:val="0"/>
                <w:sz w:val="16"/>
              </w:rPr>
              <w:t>24,492</w:t>
            </w:r>
          </w:p>
        </w:tc>
        <w:tc>
          <w:tcPr>
            <w:tcW w:type="dxa" w:w="2102"/>
            <w:vAlign w:val="center"/>
          </w:tcPr>
          <w:p>
            <w:r/>
            <w:r>
              <w:rPr>
                <w:rFonts w:ascii="Arial" w:hAnsi="Arial"/>
                <w:b w:val="0"/>
                <w:sz w:val="16"/>
              </w:rPr>
              <w:t>0.969282</w:t>
            </w:r>
          </w:p>
        </w:tc>
        <w:tc>
          <w:tcPr>
            <w:tcW w:type="dxa" w:w="2102"/>
            <w:vAlign w:val="center"/>
          </w:tcPr>
          <w:p>
            <w:r/>
            <w:r>
              <w:rPr>
                <w:rFonts w:ascii="Arial" w:hAnsi="Arial"/>
                <w:b w:val="0"/>
                <w:sz w:val="16"/>
              </w:rPr>
              <w:t>Selected</w:t>
            </w:r>
          </w:p>
        </w:tc>
      </w:tr>
      <w:tr>
        <w:tc>
          <w:tcPr>
            <w:tcW w:type="dxa" w:w="2102"/>
            <w:vAlign w:val="center"/>
          </w:tcPr>
          <w:p>
            <w:r/>
            <w:r>
              <w:rPr>
                <w:rFonts w:ascii="Arial" w:hAnsi="Arial"/>
                <w:b w:val="0"/>
                <w:sz w:val="16"/>
              </w:rPr>
              <w:t>Double DQN (dueling)</w:t>
            </w:r>
          </w:p>
        </w:tc>
        <w:tc>
          <w:tcPr>
            <w:tcW w:type="dxa" w:w="2102"/>
            <w:vAlign w:val="center"/>
          </w:tcPr>
          <w:p>
            <w:r/>
            <w:r>
              <w:rPr>
                <w:rFonts w:ascii="Arial" w:hAnsi="Arial"/>
                <w:b w:val="0"/>
                <w:sz w:val="16"/>
              </w:rPr>
              <w:t>111,216.54</w:t>
            </w:r>
          </w:p>
        </w:tc>
        <w:tc>
          <w:tcPr>
            <w:tcW w:type="dxa" w:w="2102"/>
            <w:vAlign w:val="center"/>
          </w:tcPr>
          <w:p>
            <w:r/>
            <w:r>
              <w:rPr>
                <w:rFonts w:ascii="Arial" w:hAnsi="Arial"/>
                <w:b w:val="0"/>
                <w:sz w:val="16"/>
              </w:rPr>
              <w:t>14,914.34</w:t>
            </w:r>
          </w:p>
        </w:tc>
        <w:tc>
          <w:tcPr>
            <w:tcW w:type="dxa" w:w="2102"/>
            <w:vAlign w:val="center"/>
          </w:tcPr>
          <w:p>
            <w:r/>
            <w:r>
              <w:rPr>
                <w:rFonts w:ascii="Arial" w:hAnsi="Arial"/>
                <w:b w:val="0"/>
                <w:sz w:val="16"/>
              </w:rPr>
              <w:t>0.980340</w:t>
            </w:r>
          </w:p>
        </w:tc>
        <w:tc>
          <w:tcPr>
            <w:tcW w:type="dxa" w:w="2102"/>
            <w:vAlign w:val="center"/>
          </w:tcPr>
          <w:p>
            <w:r/>
            <w:r>
              <w:rPr>
                <w:rFonts w:ascii="Arial" w:hAnsi="Arial"/>
                <w:b w:val="0"/>
                <w:sz w:val="16"/>
              </w:rPr>
              <w:t>Final portal candidate</w:t>
            </w:r>
          </w:p>
        </w:tc>
      </w:tr>
    </w:tbl>
    <w:p>
      <w:r>
        <w:t>Current published public scores give a Top-5 average cost of 103,444.07. The final Double DQN candidate is intended to replace the existing 115,819.00 Double DQN submission; its new public score is pending the last portal evaluation.</w:t>
      </w:r>
    </w:p>
    <w:p>
      <w:pPr>
        <w:pStyle w:val="Heading1"/>
      </w:pPr>
      <w:r>
        <w:t>4. Convergence and Scenario Evidence</w:t>
      </w:r>
    </w:p>
    <w:p>
      <w:r>
        <w:t>Preserved training evaluation logs provide learning curves for PPO, DQN and A2C in the final notebook. For Neural Network SARSA and the final Double DQN candidate, the retained evidence is the 200-episode official local holdout plus scenario summaries. No unsupported convergence curve is fabricated.</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shd w:fill="D9EAF7"/>
          </w:tcPr>
          <w:p>
            <w:r/>
            <w:r>
              <w:rPr>
                <w:rFonts w:ascii="Arial" w:hAnsi="Arial"/>
                <w:b/>
                <w:sz w:val="16"/>
              </w:rPr>
              <w:t>Candidate</w:t>
            </w:r>
          </w:p>
        </w:tc>
        <w:tc>
          <w:tcPr>
            <w:tcW w:type="dxa" w:w="2628"/>
            <w:vAlign w:val="center"/>
            <w:shd w:fill="D9EAF7"/>
          </w:tcPr>
          <w:p>
            <w:r/>
            <w:r>
              <w:rPr>
                <w:rFonts w:ascii="Arial" w:hAnsi="Arial"/>
                <w:b/>
                <w:sz w:val="16"/>
              </w:rPr>
              <w:t>Scenario</w:t>
            </w:r>
          </w:p>
        </w:tc>
        <w:tc>
          <w:tcPr>
            <w:tcW w:type="dxa" w:w="2628"/>
            <w:vAlign w:val="center"/>
            <w:shd w:fill="D9EAF7"/>
          </w:tcPr>
          <w:p>
            <w:r/>
            <w:r>
              <w:rPr>
                <w:rFonts w:ascii="Arial" w:hAnsi="Arial"/>
                <w:b/>
                <w:sz w:val="16"/>
              </w:rPr>
              <w:t>Mean cost</w:t>
            </w:r>
          </w:p>
        </w:tc>
        <w:tc>
          <w:tcPr>
            <w:tcW w:type="dxa" w:w="2628"/>
            <w:vAlign w:val="center"/>
            <w:shd w:fill="D9EAF7"/>
          </w:tcPr>
          <w:p>
            <w:r/>
            <w:r>
              <w:rPr>
                <w:rFonts w:ascii="Arial" w:hAnsi="Arial"/>
                <w:b/>
                <w:sz w:val="16"/>
              </w:rPr>
              <w:t>Service</w:t>
            </w:r>
          </w:p>
        </w:tc>
      </w:tr>
      <w:tr>
        <w:tc>
          <w:tcPr>
            <w:tcW w:type="dxa" w:w="2628"/>
            <w:vAlign w:val="center"/>
          </w:tcPr>
          <w:p>
            <w:r/>
            <w:r>
              <w:rPr>
                <w:rFonts w:ascii="Arial" w:hAnsi="Arial"/>
                <w:b w:val="0"/>
                <w:sz w:val="16"/>
              </w:rPr>
              <w:t>PPO</w:t>
            </w:r>
          </w:p>
        </w:tc>
        <w:tc>
          <w:tcPr>
            <w:tcW w:type="dxa" w:w="2628"/>
            <w:vAlign w:val="center"/>
          </w:tcPr>
          <w:p>
            <w:r/>
            <w:r>
              <w:rPr>
                <w:rFonts w:ascii="Arial" w:hAnsi="Arial"/>
                <w:b w:val="0"/>
                <w:sz w:val="16"/>
              </w:rPr>
              <w:t>Random</w:t>
            </w:r>
          </w:p>
        </w:tc>
        <w:tc>
          <w:tcPr>
            <w:tcW w:type="dxa" w:w="2628"/>
            <w:vAlign w:val="center"/>
          </w:tcPr>
          <w:p>
            <w:r/>
            <w:r>
              <w:rPr>
                <w:rFonts w:ascii="Arial" w:hAnsi="Arial"/>
                <w:b w:val="0"/>
                <w:sz w:val="16"/>
              </w:rPr>
              <w:t>85,214.00</w:t>
            </w:r>
          </w:p>
        </w:tc>
        <w:tc>
          <w:tcPr>
            <w:tcW w:type="dxa" w:w="2628"/>
            <w:vAlign w:val="center"/>
          </w:tcPr>
          <w:p>
            <w:r/>
            <w:r>
              <w:rPr>
                <w:rFonts w:ascii="Arial" w:hAnsi="Arial"/>
                <w:b w:val="0"/>
                <w:sz w:val="16"/>
              </w:rPr>
              <w:t>0.9919</w:t>
            </w:r>
          </w:p>
        </w:tc>
      </w:tr>
      <w:tr>
        <w:tc>
          <w:tcPr>
            <w:tcW w:type="dxa" w:w="2628"/>
            <w:vAlign w:val="center"/>
          </w:tcPr>
          <w:p>
            <w:r/>
            <w:r>
              <w:rPr>
                <w:rFonts w:ascii="Arial" w:hAnsi="Arial"/>
                <w:b w:val="0"/>
                <w:sz w:val="16"/>
              </w:rPr>
              <w:t>PPO</w:t>
            </w:r>
          </w:p>
        </w:tc>
        <w:tc>
          <w:tcPr>
            <w:tcW w:type="dxa" w:w="2628"/>
            <w:vAlign w:val="center"/>
          </w:tcPr>
          <w:p>
            <w:r/>
            <w:r>
              <w:rPr>
                <w:rFonts w:ascii="Arial" w:hAnsi="Arial"/>
                <w:b w:val="0"/>
                <w:sz w:val="16"/>
              </w:rPr>
              <w:t>Seasonal</w:t>
            </w:r>
          </w:p>
        </w:tc>
        <w:tc>
          <w:tcPr>
            <w:tcW w:type="dxa" w:w="2628"/>
            <w:vAlign w:val="center"/>
          </w:tcPr>
          <w:p>
            <w:r/>
            <w:r>
              <w:rPr>
                <w:rFonts w:ascii="Arial" w:hAnsi="Arial"/>
                <w:b w:val="0"/>
                <w:sz w:val="16"/>
              </w:rPr>
              <w:t>83,162.50</w:t>
            </w:r>
          </w:p>
        </w:tc>
        <w:tc>
          <w:tcPr>
            <w:tcW w:type="dxa" w:w="2628"/>
            <w:vAlign w:val="center"/>
          </w:tcPr>
          <w:p>
            <w:r/>
            <w:r>
              <w:rPr>
                <w:rFonts w:ascii="Arial" w:hAnsi="Arial"/>
                <w:b w:val="0"/>
                <w:sz w:val="16"/>
              </w:rPr>
              <w:t>0.9935</w:t>
            </w:r>
          </w:p>
        </w:tc>
      </w:tr>
      <w:tr>
        <w:tc>
          <w:tcPr>
            <w:tcW w:type="dxa" w:w="2628"/>
            <w:vAlign w:val="center"/>
          </w:tcPr>
          <w:p>
            <w:r/>
            <w:r>
              <w:rPr>
                <w:rFonts w:ascii="Arial" w:hAnsi="Arial"/>
                <w:b w:val="0"/>
                <w:sz w:val="16"/>
              </w:rPr>
              <w:t>PPO</w:t>
            </w:r>
          </w:p>
        </w:tc>
        <w:tc>
          <w:tcPr>
            <w:tcW w:type="dxa" w:w="2628"/>
            <w:vAlign w:val="center"/>
          </w:tcPr>
          <w:p>
            <w:r/>
            <w:r>
              <w:rPr>
                <w:rFonts w:ascii="Arial" w:hAnsi="Arial"/>
                <w:b w:val="0"/>
                <w:sz w:val="16"/>
              </w:rPr>
              <w:t>Shock</w:t>
            </w:r>
          </w:p>
        </w:tc>
        <w:tc>
          <w:tcPr>
            <w:tcW w:type="dxa" w:w="2628"/>
            <w:vAlign w:val="center"/>
          </w:tcPr>
          <w:p>
            <w:r/>
            <w:r>
              <w:rPr>
                <w:rFonts w:ascii="Arial" w:hAnsi="Arial"/>
                <w:b w:val="0"/>
                <w:sz w:val="16"/>
              </w:rPr>
              <w:t>84,740.25</w:t>
            </w:r>
          </w:p>
        </w:tc>
        <w:tc>
          <w:tcPr>
            <w:tcW w:type="dxa" w:w="2628"/>
            <w:vAlign w:val="center"/>
          </w:tcPr>
          <w:p>
            <w:r/>
            <w:r>
              <w:rPr>
                <w:rFonts w:ascii="Arial" w:hAnsi="Arial"/>
                <w:b w:val="0"/>
                <w:sz w:val="16"/>
              </w:rPr>
              <w:t>0.9916</w:t>
            </w:r>
          </w:p>
        </w:tc>
      </w:tr>
      <w:tr>
        <w:tc>
          <w:tcPr>
            <w:tcW w:type="dxa" w:w="2628"/>
            <w:vAlign w:val="center"/>
          </w:tcPr>
          <w:p>
            <w:r/>
            <w:r>
              <w:rPr>
                <w:rFonts w:ascii="Arial" w:hAnsi="Arial"/>
                <w:b w:val="0"/>
                <w:sz w:val="16"/>
              </w:rPr>
              <w:t>PPO</w:t>
            </w:r>
          </w:p>
        </w:tc>
        <w:tc>
          <w:tcPr>
            <w:tcW w:type="dxa" w:w="2628"/>
            <w:vAlign w:val="center"/>
          </w:tcPr>
          <w:p>
            <w:r/>
            <w:r>
              <w:rPr>
                <w:rFonts w:ascii="Arial" w:hAnsi="Arial"/>
                <w:b w:val="0"/>
                <w:sz w:val="16"/>
              </w:rPr>
              <w:t>Stationary</w:t>
            </w:r>
          </w:p>
        </w:tc>
        <w:tc>
          <w:tcPr>
            <w:tcW w:type="dxa" w:w="2628"/>
            <w:vAlign w:val="center"/>
          </w:tcPr>
          <w:p>
            <w:r/>
            <w:r>
              <w:rPr>
                <w:rFonts w:ascii="Arial" w:hAnsi="Arial"/>
                <w:b w:val="0"/>
                <w:sz w:val="16"/>
              </w:rPr>
              <w:t>82,806.25</w:t>
            </w:r>
          </w:p>
        </w:tc>
        <w:tc>
          <w:tcPr>
            <w:tcW w:type="dxa" w:w="2628"/>
            <w:vAlign w:val="center"/>
          </w:tcPr>
          <w:p>
            <w:r/>
            <w:r>
              <w:rPr>
                <w:rFonts w:ascii="Arial" w:hAnsi="Arial"/>
                <w:b w:val="0"/>
                <w:sz w:val="16"/>
              </w:rPr>
              <w:t>0.9927</w:t>
            </w:r>
          </w:p>
        </w:tc>
      </w:tr>
      <w:tr>
        <w:tc>
          <w:tcPr>
            <w:tcW w:type="dxa" w:w="2628"/>
            <w:vAlign w:val="center"/>
          </w:tcPr>
          <w:p>
            <w:r/>
            <w:r>
              <w:rPr>
                <w:rFonts w:ascii="Arial" w:hAnsi="Arial"/>
                <w:b w:val="0"/>
                <w:sz w:val="16"/>
              </w:rPr>
              <w:t>PPO</w:t>
            </w:r>
          </w:p>
        </w:tc>
        <w:tc>
          <w:tcPr>
            <w:tcW w:type="dxa" w:w="2628"/>
            <w:vAlign w:val="center"/>
          </w:tcPr>
          <w:p>
            <w:r/>
            <w:r>
              <w:rPr>
                <w:rFonts w:ascii="Arial" w:hAnsi="Arial"/>
                <w:b w:val="0"/>
                <w:sz w:val="16"/>
              </w:rPr>
              <w:t>Trend</w:t>
            </w:r>
          </w:p>
        </w:tc>
        <w:tc>
          <w:tcPr>
            <w:tcW w:type="dxa" w:w="2628"/>
            <w:vAlign w:val="center"/>
          </w:tcPr>
          <w:p>
            <w:r/>
            <w:r>
              <w:rPr>
                <w:rFonts w:ascii="Arial" w:hAnsi="Arial"/>
                <w:b w:val="0"/>
                <w:sz w:val="16"/>
              </w:rPr>
              <w:t>79,273.00</w:t>
            </w:r>
          </w:p>
        </w:tc>
        <w:tc>
          <w:tcPr>
            <w:tcW w:type="dxa" w:w="2628"/>
            <w:vAlign w:val="center"/>
          </w:tcPr>
          <w:p>
            <w:r/>
            <w:r>
              <w:rPr>
                <w:rFonts w:ascii="Arial" w:hAnsi="Arial"/>
                <w:b w:val="0"/>
                <w:sz w:val="16"/>
              </w:rPr>
              <w:t>0.9951</w:t>
            </w:r>
          </w:p>
        </w:tc>
      </w:tr>
      <w:tr>
        <w:tc>
          <w:tcPr>
            <w:tcW w:type="dxa" w:w="2628"/>
            <w:vAlign w:val="center"/>
          </w:tcPr>
          <w:p>
            <w:r/>
            <w:r>
              <w:rPr>
                <w:rFonts w:ascii="Arial" w:hAnsi="Arial"/>
                <w:b w:val="0"/>
                <w:sz w:val="16"/>
              </w:rPr>
              <w:t>Double DQN (dueling)</w:t>
            </w:r>
          </w:p>
        </w:tc>
        <w:tc>
          <w:tcPr>
            <w:tcW w:type="dxa" w:w="2628"/>
            <w:vAlign w:val="center"/>
          </w:tcPr>
          <w:p>
            <w:r/>
            <w:r>
              <w:rPr>
                <w:rFonts w:ascii="Arial" w:hAnsi="Arial"/>
                <w:b w:val="0"/>
                <w:sz w:val="16"/>
              </w:rPr>
              <w:t>Random</w:t>
            </w:r>
          </w:p>
        </w:tc>
        <w:tc>
          <w:tcPr>
            <w:tcW w:type="dxa" w:w="2628"/>
            <w:vAlign w:val="center"/>
          </w:tcPr>
          <w:p>
            <w:r/>
            <w:r>
              <w:rPr>
                <w:rFonts w:ascii="Arial" w:hAnsi="Arial"/>
                <w:b w:val="0"/>
                <w:sz w:val="16"/>
              </w:rPr>
              <w:t>111,582.25</w:t>
            </w:r>
          </w:p>
        </w:tc>
        <w:tc>
          <w:tcPr>
            <w:tcW w:type="dxa" w:w="2628"/>
            <w:vAlign w:val="center"/>
          </w:tcPr>
          <w:p>
            <w:r/>
            <w:r>
              <w:rPr>
                <w:rFonts w:ascii="Arial" w:hAnsi="Arial"/>
                <w:b w:val="0"/>
                <w:sz w:val="16"/>
              </w:rPr>
              <w:t>0.9797</w:t>
            </w:r>
          </w:p>
        </w:tc>
      </w:tr>
      <w:tr>
        <w:tc>
          <w:tcPr>
            <w:tcW w:type="dxa" w:w="2628"/>
            <w:vAlign w:val="center"/>
          </w:tcPr>
          <w:p>
            <w:r/>
            <w:r>
              <w:rPr>
                <w:rFonts w:ascii="Arial" w:hAnsi="Arial"/>
                <w:b w:val="0"/>
                <w:sz w:val="16"/>
              </w:rPr>
              <w:t>Double DQN (dueling)</w:t>
            </w:r>
          </w:p>
        </w:tc>
        <w:tc>
          <w:tcPr>
            <w:tcW w:type="dxa" w:w="2628"/>
            <w:vAlign w:val="center"/>
          </w:tcPr>
          <w:p>
            <w:r/>
            <w:r>
              <w:rPr>
                <w:rFonts w:ascii="Arial" w:hAnsi="Arial"/>
                <w:b w:val="0"/>
                <w:sz w:val="16"/>
              </w:rPr>
              <w:t>Seasonal</w:t>
            </w:r>
          </w:p>
        </w:tc>
        <w:tc>
          <w:tcPr>
            <w:tcW w:type="dxa" w:w="2628"/>
            <w:vAlign w:val="center"/>
          </w:tcPr>
          <w:p>
            <w:r/>
            <w:r>
              <w:rPr>
                <w:rFonts w:ascii="Arial" w:hAnsi="Arial"/>
                <w:b w:val="0"/>
                <w:sz w:val="16"/>
              </w:rPr>
              <w:t>111,609.94</w:t>
            </w:r>
          </w:p>
        </w:tc>
        <w:tc>
          <w:tcPr>
            <w:tcW w:type="dxa" w:w="2628"/>
            <w:vAlign w:val="center"/>
          </w:tcPr>
          <w:p>
            <w:r/>
            <w:r>
              <w:rPr>
                <w:rFonts w:ascii="Arial" w:hAnsi="Arial"/>
                <w:b w:val="0"/>
                <w:sz w:val="16"/>
              </w:rPr>
              <w:t>0.9802</w:t>
            </w:r>
          </w:p>
        </w:tc>
      </w:tr>
      <w:tr>
        <w:tc>
          <w:tcPr>
            <w:tcW w:type="dxa" w:w="2628"/>
            <w:vAlign w:val="center"/>
          </w:tcPr>
          <w:p>
            <w:r/>
            <w:r>
              <w:rPr>
                <w:rFonts w:ascii="Arial" w:hAnsi="Arial"/>
                <w:b w:val="0"/>
                <w:sz w:val="16"/>
              </w:rPr>
              <w:t>Double DQN (dueling)</w:t>
            </w:r>
          </w:p>
        </w:tc>
        <w:tc>
          <w:tcPr>
            <w:tcW w:type="dxa" w:w="2628"/>
            <w:vAlign w:val="center"/>
          </w:tcPr>
          <w:p>
            <w:r/>
            <w:r>
              <w:rPr>
                <w:rFonts w:ascii="Arial" w:hAnsi="Arial"/>
                <w:b w:val="0"/>
                <w:sz w:val="16"/>
              </w:rPr>
              <w:t>Shock</w:t>
            </w:r>
          </w:p>
        </w:tc>
        <w:tc>
          <w:tcPr>
            <w:tcW w:type="dxa" w:w="2628"/>
            <w:vAlign w:val="center"/>
          </w:tcPr>
          <w:p>
            <w:r/>
            <w:r>
              <w:rPr>
                <w:rFonts w:ascii="Arial" w:hAnsi="Arial"/>
                <w:b w:val="0"/>
                <w:sz w:val="16"/>
              </w:rPr>
              <w:t>116,039.25</w:t>
            </w:r>
          </w:p>
        </w:tc>
        <w:tc>
          <w:tcPr>
            <w:tcW w:type="dxa" w:w="2628"/>
            <w:vAlign w:val="center"/>
          </w:tcPr>
          <w:p>
            <w:r/>
            <w:r>
              <w:rPr>
                <w:rFonts w:ascii="Arial" w:hAnsi="Arial"/>
                <w:b w:val="0"/>
                <w:sz w:val="16"/>
              </w:rPr>
              <w:t>0.9778</w:t>
            </w:r>
          </w:p>
        </w:tc>
      </w:tr>
      <w:tr>
        <w:tc>
          <w:tcPr>
            <w:tcW w:type="dxa" w:w="2628"/>
            <w:vAlign w:val="center"/>
          </w:tcPr>
          <w:p>
            <w:r/>
            <w:r>
              <w:rPr>
                <w:rFonts w:ascii="Arial" w:hAnsi="Arial"/>
                <w:b w:val="0"/>
                <w:sz w:val="16"/>
              </w:rPr>
              <w:t>Double DQN (dueling)</w:t>
            </w:r>
          </w:p>
        </w:tc>
        <w:tc>
          <w:tcPr>
            <w:tcW w:type="dxa" w:w="2628"/>
            <w:vAlign w:val="center"/>
          </w:tcPr>
          <w:p>
            <w:r/>
            <w:r>
              <w:rPr>
                <w:rFonts w:ascii="Arial" w:hAnsi="Arial"/>
                <w:b w:val="0"/>
                <w:sz w:val="16"/>
              </w:rPr>
              <w:t>Stationary</w:t>
            </w:r>
          </w:p>
        </w:tc>
        <w:tc>
          <w:tcPr>
            <w:tcW w:type="dxa" w:w="2628"/>
            <w:vAlign w:val="center"/>
          </w:tcPr>
          <w:p>
            <w:r/>
            <w:r>
              <w:rPr>
                <w:rFonts w:ascii="Arial" w:hAnsi="Arial"/>
                <w:b w:val="0"/>
                <w:sz w:val="16"/>
              </w:rPr>
              <w:t>107,251.94</w:t>
            </w:r>
          </w:p>
        </w:tc>
        <w:tc>
          <w:tcPr>
            <w:tcW w:type="dxa" w:w="2628"/>
            <w:vAlign w:val="center"/>
          </w:tcPr>
          <w:p>
            <w:r/>
            <w:r>
              <w:rPr>
                <w:rFonts w:ascii="Arial" w:hAnsi="Arial"/>
                <w:b w:val="0"/>
                <w:sz w:val="16"/>
              </w:rPr>
              <w:t>0.9829</w:t>
            </w:r>
          </w:p>
        </w:tc>
      </w:tr>
      <w:tr>
        <w:tc>
          <w:tcPr>
            <w:tcW w:type="dxa" w:w="2628"/>
            <w:vAlign w:val="center"/>
          </w:tcPr>
          <w:p>
            <w:r/>
            <w:r>
              <w:rPr>
                <w:rFonts w:ascii="Arial" w:hAnsi="Arial"/>
                <w:b w:val="0"/>
                <w:sz w:val="16"/>
              </w:rPr>
              <w:t>Double DQN (dueling)</w:t>
            </w:r>
          </w:p>
        </w:tc>
        <w:tc>
          <w:tcPr>
            <w:tcW w:type="dxa" w:w="2628"/>
            <w:vAlign w:val="center"/>
          </w:tcPr>
          <w:p>
            <w:r/>
            <w:r>
              <w:rPr>
                <w:rFonts w:ascii="Arial" w:hAnsi="Arial"/>
                <w:b w:val="0"/>
                <w:sz w:val="16"/>
              </w:rPr>
              <w:t>Trend</w:t>
            </w:r>
          </w:p>
        </w:tc>
        <w:tc>
          <w:tcPr>
            <w:tcW w:type="dxa" w:w="2628"/>
            <w:vAlign w:val="center"/>
          </w:tcPr>
          <w:p>
            <w:r/>
            <w:r>
              <w:rPr>
                <w:rFonts w:ascii="Arial" w:hAnsi="Arial"/>
                <w:b w:val="0"/>
                <w:sz w:val="16"/>
              </w:rPr>
              <w:t>109,599.31</w:t>
            </w:r>
          </w:p>
        </w:tc>
        <w:tc>
          <w:tcPr>
            <w:tcW w:type="dxa" w:w="2628"/>
            <w:vAlign w:val="center"/>
          </w:tcPr>
          <w:p>
            <w:r/>
            <w:r>
              <w:rPr>
                <w:rFonts w:ascii="Arial" w:hAnsi="Arial"/>
                <w:b w:val="0"/>
                <w:sz w:val="16"/>
              </w:rPr>
              <w:t>0.9811</w:t>
            </w:r>
          </w:p>
        </w:tc>
      </w:tr>
    </w:tbl>
    <w:p>
      <w:pPr>
        <w:pStyle w:val="Heading1"/>
      </w:pPr>
      <w:r>
        <w:t>5. Observations and Inference</w:t>
      </w:r>
    </w:p>
    <w:p>
      <w:r>
        <w:t>PPO and DQN are the strongest public techniques. Representation B materially helped the best PPO run, while Neural Network SARSA became competitive after correcting early-episode demand-statistics handling and using a disciplined promotion run. A2C is more variable but remains a qualifying distinct technique.</w:t>
      </w:r>
    </w:p>
    <w:p>
      <w:r>
        <w:t>Double DQN's initial public result was 115,819.00. A dueling joint-action Double DQN candidate reached 111,216.54 on the 200-episode local holdout, improving the Double DQN slot locally without factorizing the scalar reward. Standard Dueling DQN was rejected after poor diagnostic performance, supporting retention of Double-DQN target separation for this problem.</w:t>
      </w:r>
    </w:p>
    <w:p>
      <w:r>
        <w:t>The newer Neural Network SARSA seed-20260826 candidate was deliberately not promoted: despite a local mean of 112,872.00, it scored 115,082.25 publicly and therefore underperformed the retained 113,072.38 SARSA submission. The final portfolio therefore uses the older public SARSA artifact.</w:t>
      </w:r>
    </w:p>
    <w:p>
      <w:r>
        <w:t>Key lesson: correct observation preprocessing, robust state representation, deterministic inference and careful validation were more reliable drivers of improvement than adding architectural novelty. The main limitation is that public and private scenario configurations are hidden, so the final choice must balance local performance and robustness rather than optimize a single known test set.</w:t>
      </w:r>
    </w:p>
    <w:p>
      <w:r>
        <w:t>The professor-provided starter_notebook.ipynb is retained in the final repository unchanged as supplied course material and provides the approved configuration-generation workflow for the assigned V030 variant; the resulting configuration is frozen in training_pipelines/assigned_config.json.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