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B0FF5" w14:textId="506275CF" w:rsidR="004061D8" w:rsidRDefault="37A1FD8B" w:rsidP="004061D8">
      <w:pPr>
        <w:ind w:left="1440"/>
        <w:jc w:val="center"/>
        <w:rPr>
          <w:rFonts w:ascii="Times New Roman" w:eastAsia="Times New Roman" w:hAnsi="Times New Roman" w:cs="Times New Roman"/>
          <w:b/>
          <w:bCs/>
          <w:color w:val="000000" w:themeColor="text1"/>
          <w:sz w:val="28"/>
          <w:szCs w:val="28"/>
          <w:lang w:val="en-US"/>
        </w:rPr>
      </w:pPr>
      <w:r w:rsidRPr="02CF7727">
        <w:rPr>
          <w:rFonts w:ascii="Times New Roman" w:eastAsia="Times New Roman" w:hAnsi="Times New Roman" w:cs="Times New Roman"/>
          <w:b/>
          <w:bCs/>
          <w:color w:val="000000" w:themeColor="text1"/>
          <w:sz w:val="28"/>
          <w:szCs w:val="28"/>
          <w:lang w:val="en-US"/>
        </w:rPr>
        <w:t>ADTA-5560 Recurrent Neural Networks for Sequence Data</w:t>
      </w:r>
    </w:p>
    <w:p w14:paraId="6B4BA76A" w14:textId="6C4E5A0B" w:rsidR="004061D8" w:rsidRDefault="004061D8" w:rsidP="004061D8">
      <w:pPr>
        <w:ind w:left="1440"/>
        <w:jc w:val="center"/>
        <w:rPr>
          <w:rFonts w:ascii="Times New Roman" w:eastAsia="Times New Roman" w:hAnsi="Times New Roman" w:cs="Times New Roman"/>
          <w:b/>
          <w:bCs/>
          <w:color w:val="000000" w:themeColor="text1"/>
          <w:sz w:val="28"/>
          <w:szCs w:val="28"/>
          <w:lang w:val="en-US"/>
        </w:rPr>
      </w:pPr>
      <w:bookmarkStart w:id="0" w:name="_GoBack"/>
      <w:bookmarkEnd w:id="0"/>
      <w:r>
        <w:rPr>
          <w:rFonts w:ascii="Times New Roman" w:eastAsia="Times New Roman" w:hAnsi="Times New Roman" w:cs="Times New Roman"/>
          <w:b/>
          <w:bCs/>
          <w:color w:val="000000" w:themeColor="text1"/>
          <w:sz w:val="28"/>
          <w:szCs w:val="28"/>
          <w:lang w:val="en-US"/>
        </w:rPr>
        <w:t>by</w:t>
      </w:r>
    </w:p>
    <w:p w14:paraId="698DD1C1" w14:textId="563FDE9A" w:rsidR="7F413D20" w:rsidRPr="004061D8" w:rsidRDefault="7F413D20" w:rsidP="004061D8">
      <w:pPr>
        <w:ind w:left="1440"/>
        <w:jc w:val="center"/>
        <w:rPr>
          <w:rFonts w:ascii="Times New Roman" w:eastAsia="Times New Roman" w:hAnsi="Times New Roman" w:cs="Times New Roman"/>
          <w:b/>
          <w:bCs/>
          <w:color w:val="000000" w:themeColor="text1"/>
          <w:sz w:val="28"/>
          <w:szCs w:val="28"/>
          <w:lang w:val="en-US"/>
        </w:rPr>
      </w:pPr>
      <w:r w:rsidRPr="004061D8">
        <w:rPr>
          <w:rFonts w:ascii="Times New Roman" w:eastAsia="Times New Roman" w:hAnsi="Times New Roman" w:cs="Times New Roman"/>
          <w:sz w:val="28"/>
          <w:szCs w:val="28"/>
          <w:lang w:val="en-US"/>
        </w:rPr>
        <w:t>Sai Satish Pallapolu, 11753831</w:t>
      </w:r>
    </w:p>
    <w:p w14:paraId="4B12C9E8" w14:textId="2584C5A0" w:rsidR="02CF7727" w:rsidRDefault="02CF7727" w:rsidP="02CF7727">
      <w:pPr>
        <w:pStyle w:val="ListParagraph"/>
        <w:spacing w:after="0"/>
        <w:jc w:val="both"/>
        <w:rPr>
          <w:rFonts w:ascii="Times New Roman" w:eastAsia="Times New Roman" w:hAnsi="Times New Roman" w:cs="Times New Roman"/>
          <w:sz w:val="28"/>
          <w:szCs w:val="28"/>
          <w:lang w:val="en-US"/>
        </w:rPr>
      </w:pPr>
    </w:p>
    <w:p w14:paraId="2DF43141" w14:textId="665020A0" w:rsidR="00474521" w:rsidRDefault="48AE5EF3" w:rsidP="02CF7727">
      <w:pPr>
        <w:jc w:val="both"/>
        <w:rPr>
          <w:rFonts w:ascii="Times New Roman" w:eastAsia="Times New Roman" w:hAnsi="Times New Roman" w:cs="Times New Roman"/>
          <w:color w:val="000000" w:themeColor="text1"/>
          <w:sz w:val="28"/>
          <w:szCs w:val="28"/>
        </w:rPr>
      </w:pPr>
      <w:r w:rsidRPr="02CF7727">
        <w:rPr>
          <w:rFonts w:ascii="Times New Roman" w:eastAsia="Times New Roman" w:hAnsi="Times New Roman" w:cs="Times New Roman"/>
          <w:b/>
          <w:bCs/>
          <w:color w:val="000000" w:themeColor="text1"/>
          <w:sz w:val="28"/>
          <w:szCs w:val="28"/>
          <w:lang w:val="en-US"/>
        </w:rPr>
        <w:t>Project Proposal</w:t>
      </w:r>
    </w:p>
    <w:p w14:paraId="7B9CBC8E" w14:textId="77344703" w:rsidR="00474521" w:rsidRDefault="48AE5EF3" w:rsidP="02CF7727">
      <w:pPr>
        <w:jc w:val="both"/>
        <w:rPr>
          <w:rFonts w:ascii="Times New Roman" w:eastAsia="Times New Roman" w:hAnsi="Times New Roman" w:cs="Times New Roman"/>
          <w:color w:val="000000" w:themeColor="text1"/>
          <w:sz w:val="28"/>
          <w:szCs w:val="28"/>
        </w:rPr>
      </w:pPr>
      <w:r w:rsidRPr="02CF7727">
        <w:rPr>
          <w:rFonts w:ascii="Times New Roman" w:eastAsia="Times New Roman" w:hAnsi="Times New Roman" w:cs="Times New Roman"/>
          <w:b/>
          <w:bCs/>
          <w:color w:val="000000" w:themeColor="text1"/>
          <w:sz w:val="28"/>
          <w:szCs w:val="28"/>
          <w:lang w:val="en-US"/>
        </w:rPr>
        <w:t>Forecasting Electricity Demand Using RNNs</w:t>
      </w:r>
    </w:p>
    <w:p w14:paraId="5187B423" w14:textId="7B96FDAB" w:rsidR="00474521" w:rsidRDefault="00474521" w:rsidP="02CF7727">
      <w:pPr>
        <w:jc w:val="both"/>
        <w:rPr>
          <w:rFonts w:ascii="Times New Roman" w:eastAsia="Times New Roman" w:hAnsi="Times New Roman" w:cs="Times New Roman"/>
          <w:color w:val="000000" w:themeColor="text1"/>
          <w:sz w:val="22"/>
          <w:szCs w:val="22"/>
        </w:rPr>
      </w:pPr>
    </w:p>
    <w:p w14:paraId="0673CCBA" w14:textId="73708317"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Purpose and Story</w:t>
      </w:r>
    </w:p>
    <w:p w14:paraId="2EFE18AA" w14:textId="55D6621A" w:rsidR="00474521" w:rsidRDefault="48AE5EF3" w:rsidP="02CF7727">
      <w:pPr>
        <w:ind w:firstLine="720"/>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Electricity demand forecasting is a critical application of time series analysis, particularly in the context of modern energy grids that increasingly rely on renewable energy sources. The intermittent nature of renewables like solar and wind energy makes it essential to accurately predict electricity demand to ensure grid stability, optimize energy production, and reduce costs. This project will focus on forecasting hourly electricity demand based on historical consumption data. The insights gained will help grid operators make informed decisions about energy distribution and storage, ultimately contributing to a more sustainable and efficient energy system.</w:t>
      </w:r>
    </w:p>
    <w:p w14:paraId="74A61C4D" w14:textId="27BC5480"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Research Questions</w:t>
      </w:r>
    </w:p>
    <w:p w14:paraId="337893B8" w14:textId="02C247E8" w:rsidR="00474521" w:rsidRDefault="48AE5EF3" w:rsidP="02CF7727">
      <w:pPr>
        <w:pStyle w:val="ListParagraph"/>
        <w:numPr>
          <w:ilvl w:val="0"/>
          <w:numId w:val="7"/>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How accurately can we forecast hourly electricity demand using historical data?</w:t>
      </w:r>
    </w:p>
    <w:p w14:paraId="231B4E9C" w14:textId="0CBE42ED" w:rsidR="00474521" w:rsidRDefault="48AE5EF3" w:rsidP="02CF7727">
      <w:pPr>
        <w:pStyle w:val="ListParagraph"/>
        <w:numPr>
          <w:ilvl w:val="0"/>
          <w:numId w:val="7"/>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What are the key temporal patterns (e.g., daily, weekly, seasonal) in electricity consumption?</w:t>
      </w:r>
    </w:p>
    <w:p w14:paraId="2E94AA9A" w14:textId="1924DE36" w:rsidR="00474521" w:rsidRDefault="48AE5EF3" w:rsidP="02CF7727">
      <w:pPr>
        <w:pStyle w:val="ListParagraph"/>
        <w:numPr>
          <w:ilvl w:val="0"/>
          <w:numId w:val="7"/>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How can external factors like temperature and holidays improve the forecasting model?</w:t>
      </w:r>
    </w:p>
    <w:p w14:paraId="10930250" w14:textId="7D56BCE5" w:rsidR="00474521" w:rsidRDefault="48AE5EF3" w:rsidP="02CF7727">
      <w:pPr>
        <w:jc w:val="both"/>
        <w:rPr>
          <w:rFonts w:ascii="Times New Roman" w:eastAsia="Times New Roman" w:hAnsi="Times New Roman" w:cs="Times New Roman"/>
          <w:color w:val="000000" w:themeColor="text1"/>
          <w:sz w:val="22"/>
          <w:szCs w:val="22"/>
        </w:rPr>
      </w:pPr>
      <w:r>
        <w:rPr>
          <w:noProof/>
        </w:rPr>
        <w:drawing>
          <wp:inline distT="0" distB="0" distL="0" distR="0" wp14:anchorId="2F184C76" wp14:editId="07DF8D17">
            <wp:extent cx="9526" cy="9526"/>
            <wp:effectExtent l="0" t="0" r="0" b="0"/>
            <wp:docPr id="107165062" name="Picture 10716506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65062"/>
                    <pic:cNvPicPr/>
                  </pic:nvPicPr>
                  <pic:blipFill>
                    <a:blip r:embed="rId5">
                      <a:extLst>
                        <a:ext uri="{28A0092B-C50C-407E-A947-70E740481C1C}">
                          <a14:useLocalDpi xmlns:a14="http://schemas.microsoft.com/office/drawing/2010/main" val="0"/>
                        </a:ext>
                      </a:extLst>
                    </a:blip>
                    <a:stretch>
                      <a:fillRect/>
                    </a:stretch>
                  </pic:blipFill>
                  <pic:spPr>
                    <a:xfrm>
                      <a:off x="0" y="0"/>
                      <a:ext cx="9526" cy="9526"/>
                    </a:xfrm>
                    <a:prstGeom prst="rect">
                      <a:avLst/>
                    </a:prstGeom>
                  </pic:spPr>
                </pic:pic>
              </a:graphicData>
            </a:graphic>
          </wp:inline>
        </w:drawing>
      </w:r>
    </w:p>
    <w:p w14:paraId="7EC71009" w14:textId="6B25C388"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Data Set Summary</w:t>
      </w:r>
    </w:p>
    <w:p w14:paraId="17E39D90" w14:textId="7E59882C"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Data Source</w:t>
      </w:r>
    </w:p>
    <w:p w14:paraId="5A9457B9" w14:textId="5C51C3C6"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The data set is sourced from the </w:t>
      </w:r>
      <w:r w:rsidRPr="02CF7727">
        <w:rPr>
          <w:rFonts w:ascii="Times New Roman" w:eastAsia="Times New Roman" w:hAnsi="Times New Roman" w:cs="Times New Roman"/>
          <w:b/>
          <w:bCs/>
          <w:color w:val="000000" w:themeColor="text1"/>
          <w:sz w:val="22"/>
          <w:szCs w:val="22"/>
          <w:lang w:val="en-US"/>
        </w:rPr>
        <w:t>U.S. Energy Information Administration (EIA)</w:t>
      </w:r>
      <w:r w:rsidRPr="02CF7727">
        <w:rPr>
          <w:rFonts w:ascii="Times New Roman" w:eastAsia="Times New Roman" w:hAnsi="Times New Roman" w:cs="Times New Roman"/>
          <w:color w:val="000000" w:themeColor="text1"/>
          <w:sz w:val="22"/>
          <w:szCs w:val="22"/>
          <w:lang w:val="en-US"/>
        </w:rPr>
        <w:t>, specifically the </w:t>
      </w:r>
      <w:r w:rsidRPr="02CF7727">
        <w:rPr>
          <w:rFonts w:ascii="Times New Roman" w:eastAsia="Times New Roman" w:hAnsi="Times New Roman" w:cs="Times New Roman"/>
          <w:b/>
          <w:bCs/>
          <w:color w:val="000000" w:themeColor="text1"/>
          <w:sz w:val="22"/>
          <w:szCs w:val="22"/>
          <w:lang w:val="en-US"/>
        </w:rPr>
        <w:t>BALANCE</w:t>
      </w:r>
      <w:r w:rsidRPr="02CF7727">
        <w:rPr>
          <w:rFonts w:ascii="Times New Roman" w:eastAsia="Times New Roman" w:hAnsi="Times New Roman" w:cs="Times New Roman"/>
          <w:color w:val="000000" w:themeColor="text1"/>
          <w:sz w:val="22"/>
          <w:szCs w:val="22"/>
          <w:lang w:val="en-US"/>
        </w:rPr>
        <w:t> files for the years 2022–2025. These files contain hourly electricity balance data, including demand, generation, and interchange metrics, for various U.S. regions. The data is original, reliable, and qualifies as a time series, making it suitable for forecasting.</w:t>
      </w:r>
    </w:p>
    <w:p w14:paraId="52AE12BD" w14:textId="0128D738"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Link to Data Source</w:t>
      </w:r>
    </w:p>
    <w:p w14:paraId="420BFFEE" w14:textId="7B2C8350" w:rsidR="00474521" w:rsidRDefault="004061D8" w:rsidP="02CF7727">
      <w:pPr>
        <w:pStyle w:val="ListParagraph"/>
        <w:numPr>
          <w:ilvl w:val="0"/>
          <w:numId w:val="6"/>
        </w:numPr>
        <w:jc w:val="both"/>
        <w:rPr>
          <w:rFonts w:ascii="Times New Roman" w:eastAsia="Times New Roman" w:hAnsi="Times New Roman" w:cs="Times New Roman"/>
          <w:color w:val="000000" w:themeColor="text1"/>
          <w:sz w:val="22"/>
          <w:szCs w:val="22"/>
        </w:rPr>
      </w:pPr>
      <w:hyperlink r:id="rId6">
        <w:r w:rsidR="48AE5EF3" w:rsidRPr="02CF7727">
          <w:rPr>
            <w:rStyle w:val="Hyperlink"/>
            <w:rFonts w:ascii="Times New Roman" w:eastAsia="Times New Roman" w:hAnsi="Times New Roman" w:cs="Times New Roman"/>
            <w:sz w:val="22"/>
            <w:szCs w:val="22"/>
            <w:lang w:val="en-US"/>
          </w:rPr>
          <w:t>EIA Electricity Data</w:t>
        </w:r>
      </w:hyperlink>
    </w:p>
    <w:p w14:paraId="2F761F08" w14:textId="7C959BCB" w:rsidR="02CF7727" w:rsidRDefault="02CF7727" w:rsidP="02CF7727">
      <w:pPr>
        <w:jc w:val="both"/>
        <w:rPr>
          <w:rFonts w:ascii="Times New Roman" w:eastAsia="Times New Roman" w:hAnsi="Times New Roman" w:cs="Times New Roman"/>
          <w:b/>
          <w:bCs/>
          <w:color w:val="000000" w:themeColor="text1"/>
          <w:sz w:val="22"/>
          <w:szCs w:val="22"/>
          <w:lang w:val="en-US"/>
        </w:rPr>
      </w:pPr>
    </w:p>
    <w:p w14:paraId="17FD2F08" w14:textId="2A2211EE" w:rsidR="02CF7727" w:rsidRDefault="02CF7727" w:rsidP="02CF7727">
      <w:pPr>
        <w:jc w:val="both"/>
        <w:rPr>
          <w:rFonts w:ascii="Times New Roman" w:eastAsia="Times New Roman" w:hAnsi="Times New Roman" w:cs="Times New Roman"/>
          <w:b/>
          <w:bCs/>
          <w:color w:val="000000" w:themeColor="text1"/>
          <w:sz w:val="22"/>
          <w:szCs w:val="22"/>
          <w:lang w:val="en-US"/>
        </w:rPr>
      </w:pPr>
    </w:p>
    <w:p w14:paraId="29CC632D" w14:textId="1FB18600"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Variables</w:t>
      </w:r>
    </w:p>
    <w:p w14:paraId="3DA472FB" w14:textId="1A4F02A6"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The dataset includes the following key variables:</w:t>
      </w:r>
    </w:p>
    <w:p w14:paraId="0699AB11" w14:textId="71D3E0F8"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Balancing Authority</w:t>
      </w:r>
      <w:r w:rsidRPr="02CF7727">
        <w:rPr>
          <w:rFonts w:ascii="Times New Roman" w:eastAsia="Times New Roman" w:hAnsi="Times New Roman" w:cs="Times New Roman"/>
          <w:color w:val="000000" w:themeColor="text1"/>
          <w:sz w:val="22"/>
          <w:szCs w:val="22"/>
          <w:lang w:val="en-US"/>
        </w:rPr>
        <w:t>: The region or entity responsible for grid balancing (e.g., AECI).</w:t>
      </w:r>
    </w:p>
    <w:p w14:paraId="7C8125E3" w14:textId="46E0A398"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Data Date</w:t>
      </w:r>
      <w:r w:rsidRPr="02CF7727">
        <w:rPr>
          <w:rFonts w:ascii="Times New Roman" w:eastAsia="Times New Roman" w:hAnsi="Times New Roman" w:cs="Times New Roman"/>
          <w:color w:val="000000" w:themeColor="text1"/>
          <w:sz w:val="22"/>
          <w:szCs w:val="22"/>
          <w:lang w:val="en-US"/>
        </w:rPr>
        <w:t>: The date of the observation.</w:t>
      </w:r>
    </w:p>
    <w:p w14:paraId="795A32C1" w14:textId="16E04089"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lastRenderedPageBreak/>
        <w:t>Hour Number</w:t>
      </w:r>
      <w:r w:rsidRPr="02CF7727">
        <w:rPr>
          <w:rFonts w:ascii="Times New Roman" w:eastAsia="Times New Roman" w:hAnsi="Times New Roman" w:cs="Times New Roman"/>
          <w:color w:val="000000" w:themeColor="text1"/>
          <w:sz w:val="22"/>
          <w:szCs w:val="22"/>
          <w:lang w:val="en-US"/>
        </w:rPr>
        <w:t>: The hour of the day (1–24).</w:t>
      </w:r>
    </w:p>
    <w:p w14:paraId="3752B2FC" w14:textId="0B5A27B1"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Local Time at End of Hour</w:t>
      </w:r>
      <w:r w:rsidRPr="02CF7727">
        <w:rPr>
          <w:rFonts w:ascii="Times New Roman" w:eastAsia="Times New Roman" w:hAnsi="Times New Roman" w:cs="Times New Roman"/>
          <w:color w:val="000000" w:themeColor="text1"/>
          <w:sz w:val="22"/>
          <w:szCs w:val="22"/>
          <w:lang w:val="en-US"/>
        </w:rPr>
        <w:t>: The local timestamp for the end of the hour.</w:t>
      </w:r>
    </w:p>
    <w:p w14:paraId="34CA575C" w14:textId="769A75D3"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UTC Time at End of Hour</w:t>
      </w:r>
      <w:r w:rsidRPr="02CF7727">
        <w:rPr>
          <w:rFonts w:ascii="Times New Roman" w:eastAsia="Times New Roman" w:hAnsi="Times New Roman" w:cs="Times New Roman"/>
          <w:color w:val="000000" w:themeColor="text1"/>
          <w:sz w:val="22"/>
          <w:szCs w:val="22"/>
          <w:lang w:val="en-US"/>
        </w:rPr>
        <w:t>: The UTC timestamp for the end of the hour.</w:t>
      </w:r>
    </w:p>
    <w:p w14:paraId="6BE91465" w14:textId="25BD39D9"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Demand Forecast (MW)</w:t>
      </w:r>
      <w:r w:rsidRPr="02CF7727">
        <w:rPr>
          <w:rFonts w:ascii="Times New Roman" w:eastAsia="Times New Roman" w:hAnsi="Times New Roman" w:cs="Times New Roman"/>
          <w:color w:val="000000" w:themeColor="text1"/>
          <w:sz w:val="22"/>
          <w:szCs w:val="22"/>
          <w:lang w:val="en-US"/>
        </w:rPr>
        <w:t>: The forecasted electricity demand for the hour.</w:t>
      </w:r>
    </w:p>
    <w:p w14:paraId="58CB685E" w14:textId="2124D02F"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Demand (MW)</w:t>
      </w:r>
      <w:r w:rsidRPr="02CF7727">
        <w:rPr>
          <w:rFonts w:ascii="Times New Roman" w:eastAsia="Times New Roman" w:hAnsi="Times New Roman" w:cs="Times New Roman"/>
          <w:color w:val="000000" w:themeColor="text1"/>
          <w:sz w:val="22"/>
          <w:szCs w:val="22"/>
          <w:lang w:val="en-US"/>
        </w:rPr>
        <w:t>: The actual electricity demand for the hour (target variable).</w:t>
      </w:r>
    </w:p>
    <w:p w14:paraId="3E1B3B8E" w14:textId="7EB7937B"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Net Generation (MW)</w:t>
      </w:r>
      <w:r w:rsidRPr="02CF7727">
        <w:rPr>
          <w:rFonts w:ascii="Times New Roman" w:eastAsia="Times New Roman" w:hAnsi="Times New Roman" w:cs="Times New Roman"/>
          <w:color w:val="000000" w:themeColor="text1"/>
          <w:sz w:val="22"/>
          <w:szCs w:val="22"/>
          <w:lang w:val="en-US"/>
        </w:rPr>
        <w:t>: The total electricity generated in the region.</w:t>
      </w:r>
    </w:p>
    <w:p w14:paraId="185E1F61" w14:textId="17F10001"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Total Interchange (MW)</w:t>
      </w:r>
      <w:r w:rsidRPr="02CF7727">
        <w:rPr>
          <w:rFonts w:ascii="Times New Roman" w:eastAsia="Times New Roman" w:hAnsi="Times New Roman" w:cs="Times New Roman"/>
          <w:color w:val="000000" w:themeColor="text1"/>
          <w:sz w:val="22"/>
          <w:szCs w:val="22"/>
          <w:lang w:val="en-US"/>
        </w:rPr>
        <w:t>: The net electricity interchange (imports/exports) for the region.</w:t>
      </w:r>
    </w:p>
    <w:p w14:paraId="35EB9990" w14:textId="781860D2"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Net Generation by Fuel Type</w:t>
      </w:r>
      <w:r w:rsidRPr="02CF7727">
        <w:rPr>
          <w:rFonts w:ascii="Times New Roman" w:eastAsia="Times New Roman" w:hAnsi="Times New Roman" w:cs="Times New Roman"/>
          <w:color w:val="000000" w:themeColor="text1"/>
          <w:sz w:val="22"/>
          <w:szCs w:val="22"/>
          <w:lang w:val="en-US"/>
        </w:rPr>
        <w:t>: Detailed breakdown of electricity generation by fuel source (e.g., coal, natural gas, nuclear, solar, wind, etc.).</w:t>
      </w:r>
    </w:p>
    <w:p w14:paraId="7E01E14C" w14:textId="39EAC80C" w:rsidR="00474521" w:rsidRDefault="48AE5EF3" w:rsidP="02CF7727">
      <w:pPr>
        <w:pStyle w:val="ListParagraph"/>
        <w:numPr>
          <w:ilvl w:val="0"/>
          <w:numId w:val="5"/>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Region</w:t>
      </w:r>
      <w:r w:rsidRPr="02CF7727">
        <w:rPr>
          <w:rFonts w:ascii="Times New Roman" w:eastAsia="Times New Roman" w:hAnsi="Times New Roman" w:cs="Times New Roman"/>
          <w:color w:val="000000" w:themeColor="text1"/>
          <w:sz w:val="22"/>
          <w:szCs w:val="22"/>
          <w:lang w:val="en-US"/>
        </w:rPr>
        <w:t>: The geographic region (e.g., MIDW for Midwest).</w:t>
      </w:r>
    </w:p>
    <w:p w14:paraId="615876A5" w14:textId="031EB859"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Additional Features (to be incorporated)</w:t>
      </w:r>
    </w:p>
    <w:p w14:paraId="1F27C6D4" w14:textId="256384C7" w:rsidR="00474521" w:rsidRDefault="48AE5EF3" w:rsidP="02CF7727">
      <w:pPr>
        <w:pStyle w:val="ListParagraph"/>
        <w:numPr>
          <w:ilvl w:val="0"/>
          <w:numId w:val="4"/>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Temperature (°F)</w:t>
      </w:r>
      <w:r w:rsidRPr="02CF7727">
        <w:rPr>
          <w:rFonts w:ascii="Times New Roman" w:eastAsia="Times New Roman" w:hAnsi="Times New Roman" w:cs="Times New Roman"/>
          <w:color w:val="000000" w:themeColor="text1"/>
          <w:sz w:val="22"/>
          <w:szCs w:val="22"/>
          <w:lang w:val="en-US"/>
        </w:rPr>
        <w:t>: Average hourly temperature for the region (external feature, to be sourced from a weather API or dataset).</w:t>
      </w:r>
    </w:p>
    <w:p w14:paraId="3A63790E" w14:textId="44A597D7" w:rsidR="00474521" w:rsidRDefault="48AE5EF3" w:rsidP="02CF7727">
      <w:pPr>
        <w:pStyle w:val="ListParagraph"/>
        <w:numPr>
          <w:ilvl w:val="0"/>
          <w:numId w:val="4"/>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Day of Week</w:t>
      </w:r>
      <w:r w:rsidRPr="02CF7727">
        <w:rPr>
          <w:rFonts w:ascii="Times New Roman" w:eastAsia="Times New Roman" w:hAnsi="Times New Roman" w:cs="Times New Roman"/>
          <w:color w:val="000000" w:themeColor="text1"/>
          <w:sz w:val="22"/>
          <w:szCs w:val="22"/>
          <w:lang w:val="en-US"/>
        </w:rPr>
        <w:t>: Categorical variable indicating the day of the week (e.g., Monday, Tuesday).</w:t>
      </w:r>
    </w:p>
    <w:p w14:paraId="116919D5" w14:textId="217CCD60" w:rsidR="00474521" w:rsidRDefault="48AE5EF3" w:rsidP="02CF7727">
      <w:pPr>
        <w:pStyle w:val="ListParagraph"/>
        <w:numPr>
          <w:ilvl w:val="0"/>
          <w:numId w:val="4"/>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Holiday Indicator</w:t>
      </w:r>
      <w:r w:rsidRPr="02CF7727">
        <w:rPr>
          <w:rFonts w:ascii="Times New Roman" w:eastAsia="Times New Roman" w:hAnsi="Times New Roman" w:cs="Times New Roman"/>
          <w:color w:val="000000" w:themeColor="text1"/>
          <w:sz w:val="22"/>
          <w:szCs w:val="22"/>
          <w:lang w:val="en-US"/>
        </w:rPr>
        <w:t>: Binary variable indicating whether the day is a holiday (1) or not (0).</w:t>
      </w:r>
    </w:p>
    <w:p w14:paraId="682158ED" w14:textId="6962F855"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Data Size</w:t>
      </w:r>
    </w:p>
    <w:p w14:paraId="3C800F82" w14:textId="082A86A2" w:rsidR="00474521" w:rsidRDefault="48AE5EF3" w:rsidP="02CF7727">
      <w:pPr>
        <w:pStyle w:val="ListParagraph"/>
        <w:numPr>
          <w:ilvl w:val="0"/>
          <w:numId w:val="3"/>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The data set contains hourly electricity demand data for the past ~3 years (2022–2025), resulting in approximately </w:t>
      </w:r>
      <w:r w:rsidRPr="02CF7727">
        <w:rPr>
          <w:rFonts w:ascii="Times New Roman" w:eastAsia="Times New Roman" w:hAnsi="Times New Roman" w:cs="Times New Roman"/>
          <w:b/>
          <w:bCs/>
          <w:color w:val="000000" w:themeColor="text1"/>
          <w:sz w:val="22"/>
          <w:szCs w:val="22"/>
          <w:lang w:val="en-US"/>
        </w:rPr>
        <w:t>43,800 data points per region</w:t>
      </w:r>
      <w:r w:rsidRPr="02CF7727">
        <w:rPr>
          <w:rFonts w:ascii="Times New Roman" w:eastAsia="Times New Roman" w:hAnsi="Times New Roman" w:cs="Times New Roman"/>
          <w:color w:val="000000" w:themeColor="text1"/>
          <w:sz w:val="22"/>
          <w:szCs w:val="22"/>
          <w:lang w:val="en-US"/>
        </w:rPr>
        <w:t>. This size is sufficient for in-depth statistical analysis and model training.</w:t>
      </w:r>
    </w:p>
    <w:p w14:paraId="10D3752A" w14:textId="3A941716" w:rsidR="00474521" w:rsidRDefault="48AE5EF3" w:rsidP="02CF7727">
      <w:p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b/>
          <w:bCs/>
          <w:color w:val="000000" w:themeColor="text1"/>
          <w:sz w:val="22"/>
          <w:szCs w:val="22"/>
          <w:lang w:val="en-US"/>
        </w:rPr>
        <w:t>Reason for Selecting This Data Set</w:t>
      </w:r>
    </w:p>
    <w:p w14:paraId="79DD8163" w14:textId="0EE72BC5" w:rsidR="00474521" w:rsidRDefault="48AE5EF3" w:rsidP="02CF7727">
      <w:pPr>
        <w:pStyle w:val="ListParagraph"/>
        <w:numPr>
          <w:ilvl w:val="0"/>
          <w:numId w:val="2"/>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The data set is original and reliable, sourced directly from a government agency.</w:t>
      </w:r>
    </w:p>
    <w:p w14:paraId="0E364C6C" w14:textId="5A7F5675" w:rsidR="00474521" w:rsidRDefault="48AE5EF3" w:rsidP="02CF7727">
      <w:pPr>
        <w:pStyle w:val="ListParagraph"/>
        <w:numPr>
          <w:ilvl w:val="0"/>
          <w:numId w:val="2"/>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It includes hourly granularity, making it ideal for capturing temporal patterns, which is essential for forecasting.</w:t>
      </w:r>
    </w:p>
    <w:p w14:paraId="6DE474E3" w14:textId="24D45D5C" w:rsidR="00474521" w:rsidRDefault="48AE5EF3" w:rsidP="02CF7727">
      <w:pPr>
        <w:pStyle w:val="ListParagraph"/>
        <w:numPr>
          <w:ilvl w:val="0"/>
          <w:numId w:val="2"/>
        </w:numPr>
        <w:jc w:val="both"/>
        <w:rPr>
          <w:rFonts w:ascii="Times New Roman" w:eastAsia="Times New Roman" w:hAnsi="Times New Roman" w:cs="Times New Roman"/>
          <w:color w:val="000000" w:themeColor="text1"/>
          <w:sz w:val="22"/>
          <w:szCs w:val="22"/>
        </w:rPr>
      </w:pPr>
      <w:r w:rsidRPr="02CF7727">
        <w:rPr>
          <w:rFonts w:ascii="Times New Roman" w:eastAsia="Times New Roman" w:hAnsi="Times New Roman" w:cs="Times New Roman"/>
          <w:color w:val="000000" w:themeColor="text1"/>
          <w:sz w:val="22"/>
          <w:szCs w:val="22"/>
          <w:lang w:val="en-US"/>
        </w:rPr>
        <w:t>The inclusion of generation and interchange metrics provides additional context for understanding demand patterns.</w:t>
      </w:r>
    </w:p>
    <w:p w14:paraId="4652A4C1" w14:textId="39226D67" w:rsidR="00474521" w:rsidRDefault="00474521" w:rsidP="02CF7727">
      <w:pPr>
        <w:jc w:val="both"/>
        <w:rPr>
          <w:rFonts w:ascii="Times New Roman" w:eastAsia="Times New Roman" w:hAnsi="Times New Roman" w:cs="Times New Roman"/>
          <w:color w:val="000000" w:themeColor="text1"/>
          <w:sz w:val="22"/>
          <w:szCs w:val="22"/>
        </w:rPr>
      </w:pPr>
    </w:p>
    <w:p w14:paraId="5E5787A5" w14:textId="10615949" w:rsidR="00474521" w:rsidRDefault="00474521" w:rsidP="02CF7727">
      <w:pPr>
        <w:jc w:val="both"/>
        <w:rPr>
          <w:rFonts w:ascii="Times New Roman" w:eastAsia="Times New Roman" w:hAnsi="Times New Roman" w:cs="Times New Roman"/>
        </w:rPr>
      </w:pPr>
    </w:p>
    <w:sectPr w:rsidR="004745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aBwBEs+4RnYyId" int2:id="LtWsPztj">
      <int2:state int2:type="AugLoop_Text_Critique" int2:value="Rejected"/>
    </int2:textHash>
    <int2:textHash int2:hashCode="RMfvuyPPitSyeX" int2:id="LKbTGHT2">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2E2C6"/>
    <w:multiLevelType w:val="hybridMultilevel"/>
    <w:tmpl w:val="B9ACABE2"/>
    <w:lvl w:ilvl="0" w:tplc="698468E4">
      <w:start w:val="1"/>
      <w:numFmt w:val="bullet"/>
      <w:lvlText w:val=""/>
      <w:lvlJc w:val="left"/>
      <w:pPr>
        <w:ind w:left="720" w:hanging="360"/>
      </w:pPr>
      <w:rPr>
        <w:rFonts w:ascii="Symbol" w:hAnsi="Symbol" w:hint="default"/>
      </w:rPr>
    </w:lvl>
    <w:lvl w:ilvl="1" w:tplc="661A54DC">
      <w:start w:val="1"/>
      <w:numFmt w:val="bullet"/>
      <w:lvlText w:val="o"/>
      <w:lvlJc w:val="left"/>
      <w:pPr>
        <w:ind w:left="1440" w:hanging="360"/>
      </w:pPr>
      <w:rPr>
        <w:rFonts w:ascii="Courier New" w:hAnsi="Courier New" w:hint="default"/>
      </w:rPr>
    </w:lvl>
    <w:lvl w:ilvl="2" w:tplc="E9446804">
      <w:start w:val="1"/>
      <w:numFmt w:val="bullet"/>
      <w:lvlText w:val=""/>
      <w:lvlJc w:val="left"/>
      <w:pPr>
        <w:ind w:left="2160" w:hanging="360"/>
      </w:pPr>
      <w:rPr>
        <w:rFonts w:ascii="Wingdings" w:hAnsi="Wingdings" w:hint="default"/>
      </w:rPr>
    </w:lvl>
    <w:lvl w:ilvl="3" w:tplc="0300886E">
      <w:start w:val="1"/>
      <w:numFmt w:val="bullet"/>
      <w:lvlText w:val=""/>
      <w:lvlJc w:val="left"/>
      <w:pPr>
        <w:ind w:left="2880" w:hanging="360"/>
      </w:pPr>
      <w:rPr>
        <w:rFonts w:ascii="Symbol" w:hAnsi="Symbol" w:hint="default"/>
      </w:rPr>
    </w:lvl>
    <w:lvl w:ilvl="4" w:tplc="4D0C3F28">
      <w:start w:val="1"/>
      <w:numFmt w:val="bullet"/>
      <w:lvlText w:val="o"/>
      <w:lvlJc w:val="left"/>
      <w:pPr>
        <w:ind w:left="3600" w:hanging="360"/>
      </w:pPr>
      <w:rPr>
        <w:rFonts w:ascii="Courier New" w:hAnsi="Courier New" w:hint="default"/>
      </w:rPr>
    </w:lvl>
    <w:lvl w:ilvl="5" w:tplc="675CCFC6">
      <w:start w:val="1"/>
      <w:numFmt w:val="bullet"/>
      <w:lvlText w:val=""/>
      <w:lvlJc w:val="left"/>
      <w:pPr>
        <w:ind w:left="4320" w:hanging="360"/>
      </w:pPr>
      <w:rPr>
        <w:rFonts w:ascii="Wingdings" w:hAnsi="Wingdings" w:hint="default"/>
      </w:rPr>
    </w:lvl>
    <w:lvl w:ilvl="6" w:tplc="8292B0FC">
      <w:start w:val="1"/>
      <w:numFmt w:val="bullet"/>
      <w:lvlText w:val=""/>
      <w:lvlJc w:val="left"/>
      <w:pPr>
        <w:ind w:left="5040" w:hanging="360"/>
      </w:pPr>
      <w:rPr>
        <w:rFonts w:ascii="Symbol" w:hAnsi="Symbol" w:hint="default"/>
      </w:rPr>
    </w:lvl>
    <w:lvl w:ilvl="7" w:tplc="2ECEE1B0">
      <w:start w:val="1"/>
      <w:numFmt w:val="bullet"/>
      <w:lvlText w:val="o"/>
      <w:lvlJc w:val="left"/>
      <w:pPr>
        <w:ind w:left="5760" w:hanging="360"/>
      </w:pPr>
      <w:rPr>
        <w:rFonts w:ascii="Courier New" w:hAnsi="Courier New" w:hint="default"/>
      </w:rPr>
    </w:lvl>
    <w:lvl w:ilvl="8" w:tplc="9D1A8BFC">
      <w:start w:val="1"/>
      <w:numFmt w:val="bullet"/>
      <w:lvlText w:val=""/>
      <w:lvlJc w:val="left"/>
      <w:pPr>
        <w:ind w:left="6480" w:hanging="360"/>
      </w:pPr>
      <w:rPr>
        <w:rFonts w:ascii="Wingdings" w:hAnsi="Wingdings" w:hint="default"/>
      </w:rPr>
    </w:lvl>
  </w:abstractNum>
  <w:abstractNum w:abstractNumId="1" w15:restartNumberingAfterBreak="0">
    <w:nsid w:val="10AF8E67"/>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8CC381"/>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0860EFB"/>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B1BA290"/>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1B745E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7F1AB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C094BE"/>
    <w:rsid w:val="004061D8"/>
    <w:rsid w:val="00474521"/>
    <w:rsid w:val="005C0F97"/>
    <w:rsid w:val="02CF7727"/>
    <w:rsid w:val="05FBE04E"/>
    <w:rsid w:val="0ADA83FB"/>
    <w:rsid w:val="2E6336B6"/>
    <w:rsid w:val="3368096E"/>
    <w:rsid w:val="37A1FD8B"/>
    <w:rsid w:val="38DF1133"/>
    <w:rsid w:val="3C661393"/>
    <w:rsid w:val="48AE5EF3"/>
    <w:rsid w:val="52D60187"/>
    <w:rsid w:val="55942A39"/>
    <w:rsid w:val="5BCE319F"/>
    <w:rsid w:val="5EC094BE"/>
    <w:rsid w:val="72CA9BB1"/>
    <w:rsid w:val="7662062F"/>
    <w:rsid w:val="784EC320"/>
    <w:rsid w:val="7F413D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094BE"/>
  <w15:chartTrackingRefBased/>
  <w15:docId w15:val="{C4AA968A-D4E7-48C6-8836-A149DCF4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ADA83FB"/>
    <w:pPr>
      <w:ind w:left="720"/>
      <w:contextualSpacing/>
    </w:pPr>
  </w:style>
  <w:style w:type="character" w:styleId="Hyperlink">
    <w:name w:val="Hyperlink"/>
    <w:basedOn w:val="DefaultParagraphFont"/>
    <w:uiPriority w:val="99"/>
    <w:unhideWhenUsed/>
    <w:rsid w:val="0ADA83F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electricity/gridmonitor/sixMonthFiles/" TargetMode="External"/><Relationship Id="rId5" Type="http://schemas.openxmlformats.org/officeDocument/2006/relationships/image" Target="media/image1.png"/><Relationship Id="rId4" Type="http://schemas.openxmlformats.org/officeDocument/2006/relationships/webSettings" Target="webSettings.xml"/><Relationship Id="Rad53a4a87bdf42fc"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Gudala, Venkata Rajyalakshmi</dc:creator>
  <cp:keywords/>
  <dc:description/>
  <cp:lastModifiedBy>DELL</cp:lastModifiedBy>
  <cp:revision>4</cp:revision>
  <dcterms:created xsi:type="dcterms:W3CDTF">2025-02-24T03:20:00Z</dcterms:created>
  <dcterms:modified xsi:type="dcterms:W3CDTF">2025-08-22T09:09:00Z</dcterms:modified>
</cp:coreProperties>
</file>