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Intake Form</w:t>
      </w:r>
    </w:p>
    <w:p>
      <w:r>
        <w:t>Complete shaded cells only. Leave N/A where appropriate.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D9E2F3"/>
          </w:tcPr>
          <w:p>
            <w:r>
              <w:t>Demographics — fill all fields below</w:t>
            </w:r>
          </w:p>
        </w:tc>
      </w:tr>
      <w:tr>
        <w:tc>
          <w:tcPr>
            <w:tcW w:type="dxa" w:w="2880"/>
          </w:tcPr>
          <w:p>
            <w:r>
              <w:t>Date of visit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Date of visit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Primary complaint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Primary complaint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Current medications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Current medications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</w:tbl>
    <w:p>
      <w:r>
        <w:t>Describe symptom onset and duration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