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Condition history</w:t>
            </w:r>
          </w:p>
        </w:tc>
        <w:tc>
          <w:tcPr>
            <w:tcW w:type="dxa" w:w="2160"/>
          </w:tcPr>
          <w:p>
            <w:r>
              <w:t>Year diagnosed</w:t>
            </w:r>
          </w:p>
        </w:tc>
        <w:tc>
          <w:tcPr>
            <w:tcW w:type="dxa" w:w="2160"/>
          </w:tcPr>
          <w:p>
            <w:r>
              <w:t>Treating physician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 xml:space="preserve">Answer for Hypertension</w:t>
            </w:r>
          </w:p>
        </w:tc>
      </w:tr>
      <w:tr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 xml:space="preserve">Answer for Asthma</w:t>
            </w:r>
          </w:p>
        </w:tc>
      </w:tr>
    </w:tbl>
    <w:p>
      <w:r>
        <w:t>List current allergies and reactions</w:t>
      </w:r>
    </w:p>
    <w:p>
      <w:r>
        <w:t xml:space="preserve">Answer for List current allergies and reactions</w:t>
      </w:r>
    </w:p>
    <w:p/>
    <w:p>
      <w:r>
        <w:t>Describe family history of cardiac disease</w:t>
      </w:r>
    </w:p>
    <w:p>
      <w:r>
        <w:t xml:space="preserve">Answer for Describe family history of cardiac disea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