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160" w:after="80"/>
      </w:pPr>
      <w:r>
        <w:rPr>
          <w:rFonts w:ascii="Arial" w:hAnsi="Arial"/>
          <w:b/>
        </w:rPr>
        <w:t>Requirement Analysis: Solution Requirements</w:t>
      </w:r>
    </w:p>
    <w:p>
      <w:pPr>
        <w:spacing w:before="40" w:after="80" w:line="276" w:lineRule="auto"/>
        <w:jc w:val="left"/>
      </w:pPr>
      <w:r>
        <w:rPr>
          <w:rFonts w:ascii="Arial" w:hAnsi="Arial"/>
          <w:b/>
          <w:i w:val="0"/>
          <w:sz w:val="20"/>
        </w:rPr>
        <w:t>C) Solution Requirements</w:t>
      </w:r>
    </w:p>
    <w:p>
      <w:pPr>
        <w:spacing w:before="40" w:after="80" w:line="276" w:lineRule="auto"/>
        <w:jc w:val="left"/>
      </w:pPr>
      <w:r>
        <w:rPr>
          <w:rFonts w:ascii="Arial" w:hAnsi="Arial"/>
          <w:b/>
          <w:i w:val="0"/>
          <w:sz w:val="20"/>
        </w:rPr>
        <w:t>Functional Requirements</w:t>
      </w:r>
    </w:p>
    <w:p>
      <w:pPr>
        <w:spacing w:before="4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>FR-01: Load and clean raw EV datasets in MySQL database.</w:t>
        <w:br/>
        <w:t>FR-02: Eliminate duplicates and trim spaces in text columns.</w:t>
        <w:br/>
        <w:t>FR-03: Create a DISTINCT charging-station location table.</w:t>
        <w:br/>
        <w:t>FR-04: Parse unit values in Tableau (e.g. converting '2.5 sec' to numeric acceleration).</w:t>
        <w:br/>
        <w:t>FR-05: Create calculated fields for fleet performance and value scores.</w:t>
        <w:br/>
        <w:t>FR-06: Develop worksheets, geographical maps, and interactive filters.</w:t>
      </w:r>
    </w:p>
    <w:p>
      <w:pPr>
        <w:spacing w:before="40" w:after="80" w:line="276" w:lineRule="auto"/>
        <w:jc w:val="left"/>
      </w:pPr>
      <w:r>
        <w:rPr>
          <w:rFonts w:ascii="Arial" w:hAnsi="Arial"/>
          <w:b/>
          <w:i w:val="0"/>
          <w:sz w:val="20"/>
        </w:rPr>
        <w:t>Non-Functional Requirements</w:t>
      </w:r>
    </w:p>
    <w:p>
      <w:pPr>
        <w:spacing w:before="40" w:after="80" w:line="276" w:lineRule="auto"/>
        <w:jc w:val="left"/>
      </w:pPr>
      <w:r>
        <w:rPr>
          <w:rFonts w:ascii="Arial" w:hAnsi="Arial"/>
          <w:b w:val="0"/>
          <w:i w:val="0"/>
          <w:sz w:val="20"/>
        </w:rPr>
        <w:t>NFR-01: Readable, consistent layout with clear visual hierarchy.</w:t>
        <w:br/>
        <w:t>NFR-02: Dashboard load times under 3 seconds.</w:t>
        <w:br/>
        <w:t>NFR-03: Packaged TWBX portability with built-in Hyper extracts.</w:t>
        <w:br/>
        <w:t>NFR-04: Robust calculated fields handling null value inputs.</w:t>
      </w:r>
    </w:p>
    <w:p>
      <w:pPr>
        <w:pStyle w:val="Heading2"/>
        <w:keepNext/>
        <w:spacing w:before="160" w:after="80"/>
      </w:pPr>
      <w:r>
        <w:rPr>
          <w:rFonts w:ascii="Arial" w:hAnsi="Arial"/>
          <w:b/>
        </w:rPr>
        <w:t>System Configuration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Requirement ID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/>
                <w:sz w:val="19"/>
              </w:rPr>
              <w:t>Requirement 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FR-01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Import and inspect Cheapest Cars, Cleaned Cars, EV India, and Charger datasets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FR-02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Establish clean SQL schema removing trailing whitespace and invalid geocodes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FR-03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Create DISTINCT charging station records to avoid coordinate double-counting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FR-04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Develop Tableau custom equations to strip units and cast strings to float values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FR-05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Implement FIXED LOD expression for segment-average comparison checks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FR-06</w:t>
            </w:r>
          </w:p>
        </w:tc>
        <w:tc>
          <w:tcPr>
            <w:tcW w:type="dxa" w:w="4320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Develop interactive dashboards combining buyer, fleet, and charger views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Arial" w:hAnsi="Arial"/>
          <w:b w:val="0"/>
          <w:i/>
          <w:sz w:val="20"/>
        </w:rPr>
        <w:br/>
        <w:t>System Configuration Analysis Diagram</w:t>
      </w:r>
    </w:p>
    <w:p>
      <w:r>
        <w:drawing>
          <wp:inline xmlns:a="http://schemas.openxmlformats.org/drawingml/2006/main" xmlns:pic="http://schemas.openxmlformats.org/drawingml/2006/picture">
            <wp:extent cx="411480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solution_requirements_17844900907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