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91B6D" w14:textId="77777777" w:rsidR="006C3D7B" w:rsidRDefault="006C3D7B" w:rsidP="006C3D7B">
      <w:pPr>
        <w:pStyle w:val="Title"/>
        <w:jc w:val="center"/>
      </w:pPr>
      <w:bookmarkStart w:id="0" w:name="X6ce942aab791de91ca69d5108dfc1ea6eb53e48"/>
      <w:r>
        <w:rPr>
          <w:noProof/>
        </w:rPr>
        <w:drawing>
          <wp:inline distT="0" distB="0" distL="0" distR="0" wp14:anchorId="30406E88" wp14:editId="32DD27A8">
            <wp:extent cx="1133475" cy="1143000"/>
            <wp:effectExtent l="0" t="0" r="9525" b="0"/>
            <wp:docPr id="87632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3475" cy="1143000"/>
                    </a:xfrm>
                    <a:prstGeom prst="rect">
                      <a:avLst/>
                    </a:prstGeom>
                    <a:noFill/>
                    <a:ln>
                      <a:noFill/>
                    </a:ln>
                  </pic:spPr>
                </pic:pic>
              </a:graphicData>
            </a:graphic>
          </wp:inline>
        </w:drawing>
      </w:r>
    </w:p>
    <w:p w14:paraId="29FE02A2" w14:textId="77777777" w:rsidR="006C3D7B" w:rsidRPr="0077747E" w:rsidRDefault="006C3D7B" w:rsidP="006C3D7B"/>
    <w:p w14:paraId="78112CAF" w14:textId="2A5F503D" w:rsidR="006C3D7B" w:rsidRPr="00D04E40" w:rsidRDefault="00B36FAC" w:rsidP="006C3D7B">
      <w:r>
        <w:rPr>
          <w:rFonts w:asciiTheme="majorHAnsi" w:eastAsiaTheme="majorEastAsia" w:hAnsiTheme="majorHAnsi" w:cstheme="majorBidi"/>
          <w:color w:val="17365D" w:themeColor="text2" w:themeShade="BF"/>
          <w:spacing w:val="5"/>
          <w:kern w:val="28"/>
          <w:sz w:val="52"/>
          <w:szCs w:val="52"/>
        </w:rPr>
        <w:t>Title: Cloud Platform Standard – AWS Lambda Function Lifecycle</w:t>
      </w:r>
    </w:p>
    <w:p w14:paraId="45EC3F24" w14:textId="77777777" w:rsidR="006C3D7B" w:rsidRDefault="006C3D7B" w:rsidP="006C3D7B">
      <w:pPr>
        <w:pStyle w:val="Heading1"/>
      </w:pPr>
    </w:p>
    <w:p w14:paraId="133F34CD" w14:textId="77777777" w:rsidR="006C3D7B" w:rsidRDefault="006C3D7B" w:rsidP="006C3D7B"/>
    <w:p w14:paraId="7AD96573" w14:textId="77777777" w:rsidR="006C3D7B" w:rsidRDefault="006C3D7B" w:rsidP="006C3D7B"/>
    <w:p w14:paraId="0115E9D6" w14:textId="77777777" w:rsidR="006C3D7B" w:rsidRDefault="006C3D7B" w:rsidP="006C3D7B"/>
    <w:p w14:paraId="40B8705D" w14:textId="77777777" w:rsidR="006C3D7B" w:rsidRDefault="006C3D7B" w:rsidP="006C3D7B"/>
    <w:p w14:paraId="7EBB6D69" w14:textId="77777777" w:rsidR="006C3D7B" w:rsidRDefault="006C3D7B" w:rsidP="006C3D7B"/>
    <w:p w14:paraId="77614157" w14:textId="77777777" w:rsidR="006C3D7B" w:rsidRDefault="006C3D7B" w:rsidP="006C3D7B"/>
    <w:p w14:paraId="69148B88" w14:textId="77777777" w:rsidR="006C3D7B" w:rsidRDefault="006C3D7B" w:rsidP="006C3D7B"/>
    <w:p w14:paraId="5439D405" w14:textId="77777777" w:rsidR="006C3D7B" w:rsidRDefault="006C3D7B" w:rsidP="006C3D7B"/>
    <w:p w14:paraId="4987A812" w14:textId="77777777" w:rsidR="006C3D7B" w:rsidRDefault="006C3D7B" w:rsidP="006C3D7B"/>
    <w:p w14:paraId="744795B9" w14:textId="77777777" w:rsidR="006C3D7B" w:rsidRDefault="006C3D7B" w:rsidP="006C3D7B"/>
    <w:tbl>
      <w:tblPr>
        <w:tblStyle w:val="GridTable1Light"/>
        <w:tblW w:w="0" w:type="auto"/>
        <w:tblLook w:val="04A0" w:firstRow="1" w:lastRow="0" w:firstColumn="1" w:lastColumn="0" w:noHBand="0" w:noVBand="1"/>
      </w:tblPr>
      <w:tblGrid>
        <w:gridCol w:w="2725"/>
        <w:gridCol w:w="1575"/>
        <w:gridCol w:w="4556"/>
      </w:tblGrid>
      <w:tr w:rsidR="006C3D7B" w14:paraId="27697D67" w14:textId="77777777" w:rsidTr="00572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5" w:type="dxa"/>
          </w:tcPr>
          <w:p w14:paraId="7947DC94" w14:textId="77777777" w:rsidR="006C3D7B" w:rsidRDefault="006C3D7B" w:rsidP="00572026">
            <w:r>
              <w:t>Author/Maintainer</w:t>
            </w:r>
          </w:p>
        </w:tc>
        <w:tc>
          <w:tcPr>
            <w:tcW w:w="1575" w:type="dxa"/>
          </w:tcPr>
          <w:p w14:paraId="54E61C11" w14:textId="77777777" w:rsidR="006C3D7B" w:rsidRDefault="006C3D7B" w:rsidP="00572026">
            <w:pPr>
              <w:cnfStyle w:val="100000000000" w:firstRow="1" w:lastRow="0" w:firstColumn="0" w:lastColumn="0" w:oddVBand="0" w:evenVBand="0" w:oddHBand="0" w:evenHBand="0" w:firstRowFirstColumn="0" w:firstRowLastColumn="0" w:lastRowFirstColumn="0" w:lastRowLastColumn="0"/>
            </w:pPr>
            <w:r>
              <w:t>Date of change</w:t>
            </w:r>
          </w:p>
        </w:tc>
        <w:tc>
          <w:tcPr>
            <w:tcW w:w="4556" w:type="dxa"/>
          </w:tcPr>
          <w:p w14:paraId="1ACF8D39" w14:textId="77777777" w:rsidR="006C3D7B" w:rsidRDefault="006C3D7B" w:rsidP="00572026">
            <w:pPr>
              <w:cnfStyle w:val="100000000000" w:firstRow="1" w:lastRow="0" w:firstColumn="0" w:lastColumn="0" w:oddVBand="0" w:evenVBand="0" w:oddHBand="0" w:evenHBand="0" w:firstRowFirstColumn="0" w:firstRowLastColumn="0" w:lastRowFirstColumn="0" w:lastRowLastColumn="0"/>
            </w:pPr>
            <w:r>
              <w:t>Reason for change</w:t>
            </w:r>
          </w:p>
        </w:tc>
      </w:tr>
      <w:tr w:rsidR="006C3D7B" w14:paraId="47E858B2"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14FCAD04" w14:textId="270A92DB" w:rsidR="006C3D7B" w:rsidRPr="00BB69E3" w:rsidRDefault="00B36FAC" w:rsidP="00572026">
            <w:r>
              <w:rPr>
                <w:b w:val="0"/>
                <w:bCs w:val="0"/>
              </w:rPr>
              <w:t/>
            </w:r>
          </w:p>
        </w:tc>
        <w:tc>
          <w:tcPr>
            <w:tcW w:w="1575" w:type="dxa"/>
          </w:tcPr>
          <w:p w14:paraId="3C8628B4" w14:textId="6A4ACF4D"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r>
              <w:t/>
            </w:r>
          </w:p>
        </w:tc>
        <w:tc>
          <w:tcPr>
            <w:tcW w:w="4556" w:type="dxa"/>
          </w:tcPr>
          <w:p w14:paraId="01D4485A"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r>
              <w:t>Initial draft</w:t>
            </w:r>
          </w:p>
        </w:tc>
      </w:tr>
      <w:tr w:rsidR="006C3D7B" w14:paraId="78D4DEC8"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379F80C1" w14:textId="77777777" w:rsidR="006C3D7B" w:rsidRPr="00BB69E3" w:rsidRDefault="006C3D7B" w:rsidP="00572026">
            <w:pPr>
              <w:rPr>
                <w:b w:val="0"/>
                <w:bCs w:val="0"/>
              </w:rPr>
            </w:pPr>
          </w:p>
        </w:tc>
        <w:tc>
          <w:tcPr>
            <w:tcW w:w="1575" w:type="dxa"/>
          </w:tcPr>
          <w:p w14:paraId="7D1B3FA8"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c>
          <w:tcPr>
            <w:tcW w:w="4556" w:type="dxa"/>
          </w:tcPr>
          <w:p w14:paraId="1965FE2E"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r>
      <w:tr w:rsidR="006C3D7B" w14:paraId="5B16929E"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1973A814" w14:textId="77777777" w:rsidR="006C3D7B" w:rsidRPr="00BB69E3" w:rsidRDefault="006C3D7B" w:rsidP="00572026"/>
        </w:tc>
        <w:tc>
          <w:tcPr>
            <w:tcW w:w="1575" w:type="dxa"/>
          </w:tcPr>
          <w:p w14:paraId="0503BFD7"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c>
          <w:tcPr>
            <w:tcW w:w="4556" w:type="dxa"/>
          </w:tcPr>
          <w:p w14:paraId="7BE353E6"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r>
      <w:tr w:rsidR="006C3D7B" w14:paraId="526FFF82"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0C039F2D" w14:textId="77777777" w:rsidR="006C3D7B" w:rsidRPr="00BB69E3" w:rsidRDefault="006C3D7B" w:rsidP="00572026"/>
        </w:tc>
        <w:tc>
          <w:tcPr>
            <w:tcW w:w="1575" w:type="dxa"/>
          </w:tcPr>
          <w:p w14:paraId="01FE4AC8"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c>
          <w:tcPr>
            <w:tcW w:w="4556" w:type="dxa"/>
          </w:tcPr>
          <w:p w14:paraId="13878E6F"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r>
    </w:tbl>
    <w:p w14:paraId="2DA9FE23" w14:textId="77777777" w:rsidR="006C3D7B" w:rsidRDefault="006C3D7B" w:rsidP="006C3D7B"/>
    <w:p w14:paraId="6D874B5F" w14:textId="77777777" w:rsidR="006C3D7B" w:rsidRPr="00EF0E4C" w:rsidRDefault="006C3D7B" w:rsidP="006C3D7B"/>
    <w:sdt>
      <w:sdtPr>
        <w:rPr>
          <w:rFonts w:asciiTheme="minorHAnsi" w:eastAsiaTheme="minorEastAsia" w:hAnsiTheme="minorHAnsi" w:cstheme="minorBidi"/>
          <w:b w:val="0"/>
          <w:bCs w:val="0"/>
          <w:color w:val="auto"/>
          <w:sz w:val="22"/>
          <w:szCs w:val="22"/>
        </w:rPr>
        <w:id w:val="482923227"/>
        <w:docPartObj>
          <w:docPartGallery w:val="Table of Contents"/>
          <w:docPartUnique/>
        </w:docPartObj>
      </w:sdtPr>
      <w:sdtEndPr>
        <w:rPr>
          <w:color w:val="343A40"/>
        </w:rPr>
      </w:sdtEndPr>
      <w:sdtContent>
        <w:p w14:paraId="7A63605D" w14:textId="77777777" w:rsidR="006C3D7B" w:rsidRDefault="006C3D7B" w:rsidP="006C3D7B">
          <w:pPr>
            <w:pStyle w:val="TOCHeading"/>
          </w:pPr>
          <w:r>
            <w:t>Table of Contents</w:t>
          </w:r>
        </w:p>
        <w:p w14:paraId="1F7CBC14" w14:textId="071F5299" w:rsidR="006C3D7B" w:rsidRDefault="006C3D7B">
          <w:pPr>
            <w:pStyle w:val="TOC2"/>
            <w:tabs>
              <w:tab w:val="right" w:leader="dot" w:pos="9350"/>
            </w:tabs>
            <w:rPr>
              <w:rFonts w:asciiTheme="minorHAnsi" w:hAnsiTheme="minorHAnsi"/>
              <w:noProof/>
              <w:color w:val="auto"/>
              <w:kern w:val="2"/>
              <w:sz w:val="24"/>
              <w:szCs w:val="24"/>
              <w14:ligatures w14:val="standardContextual"/>
            </w:rPr>
          </w:pPr>
          <w:r>
            <w:fldChar w:fldCharType="begin"/>
            <w:instrText>TOC \o "1-3" \z \u \h</w:instrText>
            <w:fldChar w:fldCharType="separate"/>
          </w:r>
          <w:hyperlink w:anchor="_Toc227241655" w:history="1">
            <w:r>
              <w:rPr>
                <w:rStyle w:val="Hyperlink"/>
                <w:noProof/>
              </w:rPr>
              <w:t>1. Background</w:t>
            </w:r>
            <w:r>
              <w:rPr>
                <w:noProof/>
                <w:webHidden/>
              </w:rPr>
              <w:tab/>
              <w:t>2</w:t>
            </w:r>
          </w:hyperlink>
        </w:p>
        <w:p w14:paraId="0F481BD1" w14:textId="4A6A1131" w:rsidR="006C3D7B" w:rsidRDefault="006C3D7B">
          <w:pPr>
            <w:pStyle w:val="TOC2"/>
            <w:tabs>
              <w:tab w:val="right" w:leader="dot" w:pos="9350"/>
            </w:tabs>
            <w:rPr>
              <w:rFonts w:asciiTheme="minorHAnsi" w:hAnsiTheme="minorHAnsi"/>
              <w:noProof/>
              <w:color w:val="auto"/>
              <w:kern w:val="2"/>
              <w:sz w:val="24"/>
              <w:szCs w:val="24"/>
              <w14:ligatures w14:val="standardContextual"/>
            </w:rPr>
          </w:pPr>
          <w:hyperlink w:anchor="_Toc227241656" w:history="1">
            <w:r>
              <w:rPr>
                <w:rStyle w:val="Hyperlink"/>
                <w:noProof/>
              </w:rPr>
              <w:t>2. Purpose and Scope</w:t>
            </w:r>
            <w:r>
              <w:rPr>
                <w:noProof/>
                <w:webHidden/>
              </w:rPr>
              <w:tab/>
              <w:fldChar w:fldCharType="begin"/>
              <w:instrText xml:space="preserve"> PAGEREF _Toc227241656 \h </w:instrText>
              <w:fldChar w:fldCharType="separate"/>
              <w:t>3</w:t>
              <w:fldChar w:fldCharType="end"/>
            </w:r>
          </w:hyperlink>
        </w:p>
        <w:p w14:paraId="0037BA9B" w14:textId="25DFB1EF" w:rsidR="006C3D7B" w:rsidRDefault="006C3D7B">
          <w:pPr>
            <w:pStyle w:val="TOC3"/>
            <w:tabs>
              <w:tab w:val="right" w:leader="dot" w:pos="9350"/>
            </w:tabs>
            <w:rPr>
              <w:noProof/>
              <w:kern w:val="2"/>
              <w:sz w:val="24"/>
              <w:szCs w:val="24"/>
              <w14:ligatures w14:val="standardContextual"/>
            </w:rPr>
          </w:pPr>
          <w:hyperlink w:anchor="_Toc227241661" w:history="1">
            <w:r>
              <w:rPr>
                <w:rStyle w:val="Hyperlink"/>
                <w:noProof/>
              </w:rPr>
              <w:t>Purpose</w:t>
            </w:r>
            <w:r>
              <w:rPr>
                <w:noProof/>
                <w:webHidden/>
              </w:rPr>
              <w:tab/>
              <w:t>3</w:t>
            </w:r>
          </w:hyperlink>
        </w:p>
        <w:p w14:paraId="74FE84BA" w14:textId="2373A80E" w:rsidR="006C3D7B" w:rsidRDefault="006C3D7B">
          <w:pPr>
            <w:pStyle w:val="TOC3"/>
            <w:tabs>
              <w:tab w:val="right" w:leader="dot" w:pos="9350"/>
            </w:tabs>
            <w:rPr>
              <w:noProof/>
              <w:kern w:val="2"/>
              <w:sz w:val="24"/>
              <w:szCs w:val="24"/>
              <w14:ligatures w14:val="standardContextual"/>
            </w:rPr>
          </w:pPr>
          <w:hyperlink w:anchor="_Toc227241662" w:history="1">
            <w:r>
              <w:rPr>
                <w:rStyle w:val="Hyperlink"/>
                <w:noProof/>
              </w:rPr>
              <w:t>Scope</w:t>
            </w:r>
            <w:r>
              <w:rPr>
                <w:noProof/>
                <w:webHidden/>
              </w:rPr>
              <w:tab/>
              <w:t>3</w:t>
            </w:r>
          </w:hyperlink>
        </w:p>
        <w:p w14:paraId="6336CB28" w14:textId="37E86D34" w:rsidR="006C3D7B" w:rsidRDefault="006C3D7B">
          <w:pPr>
            <w:pStyle w:val="TOC2"/>
            <w:tabs>
              <w:tab w:val="right" w:leader="dot" w:pos="9350"/>
            </w:tabs>
            <w:rPr>
              <w:rFonts w:asciiTheme="minorHAnsi" w:hAnsiTheme="minorHAnsi"/>
              <w:noProof/>
              <w:color w:val="auto"/>
              <w:kern w:val="2"/>
              <w:sz w:val="24"/>
              <w:szCs w:val="24"/>
              <w14:ligatures w14:val="standardContextual"/>
            </w:rPr>
          </w:pPr>
          <w:hyperlink w:anchor="_Toc227241663" w:history="1">
            <w:r>
              <w:rPr>
                <w:rStyle w:val="Hyperlink"/>
                <w:noProof/>
              </w:rPr>
              <w:t>3. Standard Definition</w:t>
            </w:r>
            <w:r>
              <w:rPr>
                <w:noProof/>
                <w:webHidden/>
              </w:rPr>
              <w:tab/>
              <w:t>3</w:t>
            </w:r>
          </w:hyperlink>
        </w:p>
        <w:p w14:paraId="481CA1DC" w14:textId="6387400C" w:rsidR="006C3D7B" w:rsidRDefault="006C3D7B">
          <w:pPr>
            <w:pStyle w:val="TOC3"/>
            <w:tabs>
              <w:tab w:val="right" w:leader="dot" w:pos="9350"/>
            </w:tabs>
            <w:rPr>
              <w:noProof/>
              <w:kern w:val="2"/>
              <w:sz w:val="24"/>
              <w:szCs w:val="24"/>
              <w14:ligatures w14:val="standardContextual"/>
            </w:rPr>
          </w:pPr>
          <w:hyperlink w:anchor="_Toc227241664" w:history="1">
            <w:r>
              <w:rPr>
                <w:rStyle w:val="Hyperlink"/>
                <w:noProof/>
              </w:rPr>
              <w:t>3.1 Provisioning Requirements</w:t>
            </w:r>
            <w:r>
              <w:rPr>
                <w:noProof/>
                <w:webHidden/>
              </w:rPr>
              <w:tab/>
              <w:fldChar w:fldCharType="begin"/>
              <w:instrText xml:space="preserve"> PAGEREF _Toc227241664 \h </w:instrText>
              <w:fldChar w:fldCharType="separate"/>
              <w:t>4</w:t>
              <w:fldChar w:fldCharType="end"/>
            </w:r>
          </w:hyperlink>
        </w:p>
        <w:p w14:paraId="0D7A5715" w14:textId="501721B6" w:rsidR="006C3D7B" w:rsidRDefault="006C3D7B">
          <w:pPr>
            <w:pStyle w:val="TOC3"/>
            <w:tabs>
              <w:tab w:val="right" w:leader="dot" w:pos="9350"/>
            </w:tabs>
            <w:rPr>
              <w:noProof/>
              <w:kern w:val="2"/>
              <w:sz w:val="24"/>
              <w:szCs w:val="24"/>
              <w14:ligatures w14:val="standardContextual"/>
            </w:rPr>
          </w:pPr>
          <w:hyperlink w:anchor="_Toc227241665" w:history="1">
            <w:r>
              <w:rPr>
                <w:rStyle w:val="Hyperlink"/>
                <w:noProof/>
              </w:rPr>
              <w:t>3.2 Code Management and Repository Separation</w:t>
            </w:r>
            <w:r>
              <w:rPr>
                <w:noProof/>
                <w:webHidden/>
              </w:rPr>
              <w:tab/>
              <w:t>4</w:t>
            </w:r>
          </w:hyperlink>
        </w:p>
        <w:p w14:paraId="296B7229" w14:textId="04B35459" w:rsidR="006C3D7B" w:rsidRDefault="006C3D7B">
          <w:pPr>
            <w:pStyle w:val="TOC3"/>
            <w:tabs>
              <w:tab w:val="right" w:leader="dot" w:pos="9350"/>
            </w:tabs>
            <w:rPr>
              <w:noProof/>
              <w:kern w:val="2"/>
              <w:sz w:val="24"/>
              <w:szCs w:val="24"/>
              <w14:ligatures w14:val="standardContextual"/>
            </w:rPr>
          </w:pPr>
          <w:hyperlink w:anchor="_Toc227241666" w:history="1">
            <w:r>
              <w:rPr>
                <w:rStyle w:val="Hyperlink"/>
                <w:noProof/>
              </w:rPr>
              <w:t>3.3 Deployment Requirements</w:t>
            </w:r>
            <w:r>
              <w:rPr>
                <w:noProof/>
                <w:webHidden/>
              </w:rPr>
              <w:tab/>
              <w:t>4</w:t>
            </w:r>
          </w:hyperlink>
        </w:p>
        <w:p w14:paraId="1A0744D8" w14:textId="138B8714" w:rsidR="006C3D7B" w:rsidRDefault="006C3D7B">
          <w:pPr>
            <w:pStyle w:val="TOC3"/>
            <w:tabs>
              <w:tab w:val="right" w:leader="dot" w:pos="9350"/>
            </w:tabs>
            <w:rPr>
              <w:noProof/>
              <w:kern w:val="2"/>
              <w:sz w:val="24"/>
              <w:szCs w:val="24"/>
              <w14:ligatures w14:val="standardContextual"/>
            </w:rPr>
          </w:pPr>
          <w:hyperlink w:anchor="_Toc227241667" w:history="1">
            <w:r>
              <w:rPr>
                <w:rStyle w:val="Hyperlink"/>
                <w:noProof/>
              </w:rPr>
              <w:t>3.4 Ownership and Accountability</w:t>
            </w:r>
            <w:r>
              <w:rPr>
                <w:noProof/>
                <w:webHidden/>
              </w:rPr>
              <w:tab/>
              <w:t>4</w:t>
            </w:r>
          </w:hyperlink>
        </w:p>
        <w:p w14:paraId="297D789F" w14:textId="5C74C62C" w:rsidR="006C3D7B" w:rsidRDefault="006C3D7B">
          <w:pPr>
            <w:pStyle w:val="TOC2"/>
            <w:tabs>
              <w:tab w:val="right" w:leader="dot" w:pos="9350"/>
            </w:tabs>
          </w:pPr>
          <w:hyperlink w:anchor="_Toc227241673" w:history="1">
            <w:r>
              <w:rPr>
                <w:rStyle w:val="Hyperlink"/>
                <w:noProof/>
              </w:rPr>
              <w:t>4. Rationale</w:t>
            </w:r>
            <w:r>
              <w:rPr>
                <w:noProof/>
                <w:webHidden/>
              </w:rPr>
              <w:tab/>
              <w:t>5</w:t>
            </w:r>
          </w:hyperlink>
        </w:p>
        <w:p w14:paraId="55F00C0C" w14:textId="5CE8676D" w:rsidR="00BC45E3" w:rsidRDefault="00BC45E3" w:rsidP="00BC45E3">
          <w:pPr>
            <w:pStyle w:val="TOC2"/>
            <w:tabs>
              <w:tab w:val="right" w:leader="dot" w:pos="9350"/>
            </w:tabs>
          </w:pPr>
          <w:hyperlink w:anchor="_Toc227241673" w:history="1">
            <w:r>
              <w:rPr>
                <w:rStyle w:val="Hyperlink"/>
                <w:noProof/>
              </w:rPr>
              <w:t xml:space="preserve">5. </w:t>
            </w:r>
            <w:r>
              <w:t>Compliance and Enforcement</w:t>
            </w:r>
            <w:r>
              <w:rPr>
                <w:noProof/>
                <w:webHidden/>
              </w:rPr>
              <w:tab/>
              <w:t>5</w:t>
            </w:r>
          </w:hyperlink>
        </w:p>
        <w:p w14:paraId="1F5D9AC3" w14:textId="29D0C561" w:rsidR="00BC45E3" w:rsidRDefault="00BC45E3" w:rsidP="00BC45E3">
          <w:pPr>
            <w:pStyle w:val="TOC2"/>
            <w:tabs>
              <w:tab w:val="right" w:leader="dot" w:pos="9350"/>
            </w:tabs>
          </w:pPr>
          <w:hyperlink w:anchor="_Toc227241673" w:history="1">
            <w:r>
              <w:rPr>
                <w:rStyle w:val="Hyperlink"/>
                <w:noProof/>
              </w:rPr>
              <w:t>6. Exceptions and Deviations</w:t>
            </w:r>
            <w:r>
              <w:rPr>
                <w:noProof/>
                <w:webHidden/>
              </w:rPr>
              <w:tab/>
              <w:t>5</w:t>
            </w:r>
          </w:hyperlink>
        </w:p>
        <w:p w14:paraId="49D8F0C1" w14:textId="7164AABC" w:rsidR="00BC45E3" w:rsidRDefault="00BC45E3" w:rsidP="00BC45E3">
          <w:pPr>
            <w:pStyle w:val="TOC2"/>
            <w:tabs>
              <w:tab w:val="right" w:leader="dot" w:pos="9350"/>
            </w:tabs>
          </w:pPr>
          <w:hyperlink w:anchor="_Toc227241673" w:history="1">
            <w:r>
              <w:rPr>
                <w:rStyle w:val="Hyperlink"/>
                <w:noProof/>
              </w:rPr>
              <w:t>7. References</w:t>
            </w:r>
            <w:r>
              <w:rPr>
                <w:noProof/>
                <w:webHidden/>
              </w:rPr>
              <w:tab/>
              <w:t>5</w:t>
            </w:r>
          </w:hyperlink>
        </w:p>
        <w:p w14:paraId="679608CA" w14:textId="66884035" w:rsidR="00BC45E3" w:rsidRPr="00BC45E3" w:rsidRDefault="00BC45E3" w:rsidP="00BC45E3">
          <w:r>
            <w:t xml:space="preserve"> </w:t>
          </w:r>
        </w:p>
        <w:p w14:paraId="11A9E6B3" w14:textId="4D893AA9" w:rsidR="006C3D7B" w:rsidRDefault="006C3D7B" w:rsidP="006C3D7B">
          <w:pPr>
            <w:pStyle w:val="TOC1"/>
            <w:tabs>
              <w:tab w:val="right" w:leader="dot" w:pos="9345"/>
            </w:tabs>
            <w:rPr>
              <w:rStyle w:val="Hyperlink"/>
            </w:rPr>
          </w:pPr>
          <w:r>
            <w:fldChar w:fldCharType="end"/>
          </w:r>
        </w:p>
      </w:sdtContent>
    </w:sdt>
    <w:p w14:paraId="3E041614" w14:textId="77777777" w:rsidR="006C3D7B" w:rsidRDefault="006C3D7B" w:rsidP="006C3D7B">
      <w:pPr>
        <w:pStyle w:val="Heading1"/>
      </w:pPr>
    </w:p>
    <w:p w14:paraId="3DCFC7D2" w14:textId="77777777" w:rsidR="006C3D7B" w:rsidRDefault="006C3D7B" w:rsidP="006C3D7B">
      <w:pPr>
        <w:pStyle w:val="Heading1"/>
      </w:pPr>
    </w:p>
    <w:p w14:paraId="673192DC" w14:textId="77777777" w:rsidR="006C3D7B" w:rsidRDefault="006C3D7B" w:rsidP="006C3D7B"/>
    <w:p w14:paraId="6AEAAC41" w14:textId="77777777" w:rsidR="00B36FAC" w:rsidRDefault="00B36FAC">
      <w:pPr>
        <w:pStyle w:val="Heading2"/>
      </w:pPr>
      <w:bookmarkStart w:id="1" w:name="_Toc227241655"/>
      <w:bookmarkStart w:id="2" w:name="summary"/>
    </w:p>
    <w:p w14:paraId="1DA21072" w14:textId="77777777" w:rsidR="00BC45E3" w:rsidRDefault="00BC45E3">
      <w:pPr>
        <w:pStyle w:val="Heading2"/>
      </w:pPr>
    </w:p>
    <w:p w14:paraId="64C92956" w14:textId="6D5DB1EA" w:rsidR="00DE26AB" w:rsidRDefault="00000000">
      <w:pPr>
        <w:pStyle w:val="Heading2"/>
      </w:pPr>
      <w:r>
        <w:t xml:space="preserve">1. </w:t>
      </w:r>
      <w:bookmarkEnd w:id="1"/>
      <w:r>
        <w:t>Background</w:t>
      </w:r>
    </w:p>
    <w:p w14:paraId="4595A8E1" w14:textId="77777777" w:rsidR="00B36FAC" w:rsidRDefault="00B36FAC" w:rsidP="00B36FAC">
      <w:r>
        <w:t>AWS Lambda is a foundational serverless compute service used across KFB to support event-driven workloads, integrations, and lightweight automation. As Lambda adoption has grown, functions have been authored and deployed by multiple teams using a mix of approaches, creating inconsistencies in how functions are provisioned, packaged, and operated.</w:t>
      </w:r>
    </w:p>
    <w:p w14:paraId="197C8C9E" w14:textId="77777777" w:rsidR="00B36FAC" w:rsidRDefault="00B36FAC" w:rsidP="00B36FAC"/>
    <w:p w14:paraId="43D7C7D9" w14:textId="5A2B4ACF" w:rsidR="00DE26AB" w:rsidRDefault="00B36FAC" w:rsidP="00B36FAC">
      <w:r>
        <w:t>Without clearly defined expectations for how Lambda functions are built and delivered, environments can drift, ownership becomes unclear, and the boundary between infrastructure and application code is blurred. These challenges are amplified when the same function name is referenced by both Terraform-managed infrastructure and an independent code deployment pipeline. This standard establishes a consistent framework for defining how AWS Lambda functions are provisioned, how their code is delivered, and how accountability is assigned across the infrastructure and source repositories, while remaining aligned with KFB’s current centralized cloud operating model.</w:t>
        <w:pict w14:anchorId="58D89B05">
          <v:rect id="_x0000_i1076" style="width:0;height:1.5pt" o:hralign="center" o:hrstd="t" o:hr="t"/>
        </w:pict>
      </w:r>
    </w:p>
    <w:p w14:paraId="481AAAA5" w14:textId="03E0BA1D" w:rsidR="00DE26AB" w:rsidRDefault="00000000">
      <w:pPr>
        <w:pStyle w:val="Heading2"/>
      </w:pPr>
      <w:bookmarkStart w:id="3" w:name="_Toc227241656"/>
      <w:bookmarkStart w:id="4" w:name="current-problems"/>
      <w:bookmarkEnd w:id="2"/>
      <w:r>
        <w:t xml:space="preserve">2. </w:t>
      </w:r>
      <w:bookmarkEnd w:id="3"/>
      <w:r>
        <w:t>Purpose and Scope</w:t>
      </w:r>
    </w:p>
    <w:p w14:paraId="42115B7A" w14:textId="77777777" w:rsidR="00DE26AB" w:rsidRDefault="00000000">
      <w:r>
        <w:t>This section defines the purpose this standard serves and the scope of its application.</w:t>
      </w:r>
    </w:p>
    <w:p w14:paraId="720D3B44" w14:textId="77777777" w:rsidR="00B36FAC" w:rsidRPr="00B36FAC" w:rsidRDefault="00B36FAC" w:rsidP="00B36FAC">
      <w:pPr>
        <w:rPr>
          <w:rFonts w:asciiTheme="majorHAnsi" w:eastAsiaTheme="majorEastAsia" w:hAnsiTheme="majorHAnsi" w:cstheme="majorBidi"/>
          <w:b/>
          <w:bCs/>
          <w:color w:val="004B8D"/>
          <w:sz w:val="26"/>
        </w:rPr>
      </w:pPr>
      <w:bookmarkStart w:id="5" w:name="Xf77f26d218f3e60b4ac90eb925f635c92caf5f5"/>
      <w:r>
        <w:rPr>
          <w:rFonts w:asciiTheme="majorHAnsi" w:eastAsiaTheme="majorEastAsia" w:hAnsiTheme="majorHAnsi" w:cstheme="majorBidi"/>
          <w:b/>
          <w:bCs/>
          <w:color w:val="004B8D"/>
          <w:sz w:val="26"/>
        </w:rPr>
        <w:t>2.1 Purpose</w:t>
      </w:r>
    </w:p>
    <w:p w14:paraId="00A796C5" w14:textId="77777777" w:rsidR="00B36FAC" w:rsidRPr="00B36FAC" w:rsidRDefault="00B36FAC" w:rsidP="00B36FAC">
      <w:pPr>
        <w:rPr>
          <w:rFonts w:asciiTheme="majorHAnsi" w:eastAsiaTheme="majorEastAsia" w:hAnsiTheme="majorHAnsi" w:cstheme="majorBidi"/>
          <w:b/>
          <w:bCs/>
          <w:color w:val="004B8D"/>
          <w:sz w:val="26"/>
        </w:rPr>
      </w:pPr>
    </w:p>
    <w:p w14:paraId="384FA8CE" w14:textId="77777777" w:rsidR="00B36FAC" w:rsidRPr="00B36FAC" w:rsidRDefault="00B36FAC" w:rsidP="00B36FAC">
      <w:r>
        <w:t>The purpose of this standard is to define consistent, enforceable requirements for the full lifecycle of AWS Lambda functions at KFB, from infrastructure provisioning through code deployment and ongoing operation. The intent is to enable cloud-first solutions that are secure, resilient, and operationally sustainable, while preserving clear ownership boundaries between platform, governance, and operations.</w:t>
      </w:r>
    </w:p>
    <w:p w14:paraId="630BCB3D" w14:textId="77777777" w:rsidR="00B36FAC" w:rsidRPr="00B36FAC" w:rsidRDefault="00B36FAC" w:rsidP="00B36FAC">
      <w:pPr>
        <w:rPr>
          <w:rFonts w:asciiTheme="majorHAnsi" w:eastAsiaTheme="majorEastAsia" w:hAnsiTheme="majorHAnsi" w:cstheme="majorBidi"/>
          <w:b/>
          <w:bCs/>
          <w:color w:val="004B8D"/>
          <w:sz w:val="26"/>
        </w:rPr>
      </w:pPr>
    </w:p>
    <w:p w14:paraId="5680D7BF" w14:textId="77777777" w:rsidR="00B36FAC" w:rsidRPr="00B36FAC" w:rsidRDefault="00B36FAC" w:rsidP="00B36FAC">
      <w:pPr>
        <w:rPr>
          <w:rFonts w:asciiTheme="majorHAnsi" w:eastAsiaTheme="majorEastAsia" w:hAnsiTheme="majorHAnsi" w:cstheme="majorBidi"/>
          <w:b/>
          <w:bCs/>
          <w:color w:val="004B8D"/>
          <w:sz w:val="26"/>
        </w:rPr>
      </w:pPr>
      <w:r>
        <w:rPr>
          <w:rFonts w:asciiTheme="majorHAnsi" w:eastAsiaTheme="majorEastAsia" w:hAnsiTheme="majorHAnsi" w:cstheme="majorBidi"/>
          <w:b/>
          <w:bCs/>
          <w:color w:val="004B8D"/>
          <w:sz w:val="26"/>
        </w:rPr>
        <w:t>2.2 Scope</w:t>
      </w:r>
    </w:p>
    <w:p w14:paraId="27E1AC81" w14:textId="77777777" w:rsidR="00B36FAC" w:rsidRPr="00B36FAC" w:rsidRDefault="00B36FAC" w:rsidP="00B36FAC">
      <w:pPr>
        <w:rPr>
          <w:rFonts w:asciiTheme="majorHAnsi" w:eastAsiaTheme="majorEastAsia" w:hAnsiTheme="majorHAnsi" w:cstheme="majorBidi"/>
          <w:b/>
          <w:bCs/>
          <w:color w:val="004B8D"/>
          <w:sz w:val="26"/>
        </w:rPr>
      </w:pPr>
    </w:p>
    <w:p w14:paraId="17A39CD8" w14:textId="77777777" w:rsidR="00B36FAC" w:rsidRPr="00B36FAC" w:rsidRDefault="00B36FAC" w:rsidP="00B36FAC">
      <w:r>
        <w:t>This standard applies to:</w:t>
      </w:r>
    </w:p>
    <w:p w14:paraId="7AC4C4FC" w14:textId="77777777" w:rsidR="00B36FAC" w:rsidRPr="00B36FAC" w:rsidRDefault="00B36FAC" w:rsidP="00B36FAC">
      <w:r>
        <w:t>- All AWS Lambda functions deployed into AWS accounts owned by KFB, regardless of runtime or workload maturity</w:t>
      </w:r>
    </w:p>
    <w:p w14:paraId="69C5F26D" w14:textId="77777777" w:rsidR="00B36FAC" w:rsidRPr="00B36FAC" w:rsidRDefault="00B36FAC" w:rsidP="00B36FAC">
      <w:r>
        <w:t>- All teams authoring, provisioning, or deploying Lambda functions, including both infrastructure and application engineering teams</w:t>
      </w:r>
    </w:p>
    <w:p w14:paraId="69F23B9A" w14:textId="77777777" w:rsidR="00B36FAC" w:rsidRPr="00B36FAC" w:rsidRDefault="00B36FAC" w:rsidP="00B36FAC">
      <w:pPr>
        <w:rPr>
          <w:rFonts w:asciiTheme="majorHAnsi" w:eastAsiaTheme="majorEastAsia" w:hAnsiTheme="majorHAnsi" w:cstheme="majorBidi"/>
          <w:b/>
          <w:bCs/>
          <w:color w:val="004B8D"/>
          <w:sz w:val="26"/>
        </w:rPr>
      </w:pPr>
    </w:p>
    <w:p w14:paraId="0CE57464" w14:textId="77777777" w:rsidR="00B36FAC" w:rsidRPr="00B36FAC" w:rsidRDefault="00B36FAC" w:rsidP="00B36FAC">
      <w:pPr>
        <w:rPr>
          <w:rFonts w:asciiTheme="majorHAnsi" w:eastAsiaTheme="majorEastAsia" w:hAnsiTheme="majorHAnsi" w:cstheme="majorBidi"/>
          <w:b/>
          <w:bCs/>
          <w:color w:val="004B8D"/>
          <w:sz w:val="26"/>
        </w:rPr>
      </w:pPr>
      <w:r>
        <w:rPr>
          <w:rFonts w:asciiTheme="majorHAnsi" w:eastAsiaTheme="majorEastAsia" w:hAnsiTheme="majorHAnsi" w:cstheme="majorBidi"/>
          <w:b/>
          <w:bCs/>
          <w:color w:val="004B8D"/>
          <w:sz w:val="26"/>
        </w:rPr>
        <w:t>This standard does not apply to:</w:t>
      </w:r>
    </w:p>
    <w:p w14:paraId="59AED3F4" w14:textId="77777777" w:rsidR="00B36FAC" w:rsidRPr="00B36FAC" w:rsidRDefault="00B36FAC" w:rsidP="00B36FAC">
      <w:r>
        <w:t>- Internal business logic of individual Lambda functions, AWS Organizations or account structure, IAM policy content beyond the execution role contract, and event source architecture beyond the Lambda function itself (defined in separate Cloud Platform Standards)</w:t>
      </w:r>
    </w:p>
    <w:p w14:paraId="7686D121" w14:textId="77777777" w:rsidR="00DE26AB" w:rsidRDefault="00000000">
      <w:r>
        <w:pict w14:anchorId="08BFED9B">
          <v:rect id="_x0000_i1077" style="width:0;height:1.5pt" o:hralign="center" o:hrstd="t" o:hr="t"/>
        </w:pict>
      </w:r>
    </w:p>
    <w:p w14:paraId="2D11D800" w14:textId="142EEF4E" w:rsidR="00DE26AB" w:rsidRDefault="00000000">
      <w:pPr>
        <w:pStyle w:val="Heading2"/>
      </w:pPr>
      <w:bookmarkStart w:id="6" w:name="_Toc227241663"/>
      <w:bookmarkStart w:id="7" w:name="proposed-changes"/>
      <w:bookmarkEnd w:id="4"/>
      <w:bookmarkEnd w:id="5"/>
      <w:r>
        <w:t xml:space="preserve">3. </w:t>
      </w:r>
      <w:bookmarkEnd w:id="6"/>
      <w:r>
        <w:t>Standard Definition</w:t>
      </w:r>
    </w:p>
    <w:p w14:paraId="2E58371A" w14:textId="77777777" w:rsidR="00B36FAC" w:rsidRPr="00B36FAC" w:rsidRDefault="00B36FAC" w:rsidP="00B36FAC">
      <w:pPr>
        <w:rPr>
          <w:rFonts w:asciiTheme="majorHAnsi" w:eastAsiaTheme="majorEastAsia" w:hAnsiTheme="majorHAnsi" w:cstheme="majorBidi"/>
          <w:b/>
          <w:bCs/>
          <w:color w:val="004B8D"/>
          <w:sz w:val="26"/>
        </w:rPr>
      </w:pPr>
      <w:bookmarkStart w:id="8" w:name="gradle-dependency-caching-in-ci"/>
      <w:r>
        <w:rPr>
          <w:rFonts w:asciiTheme="majorHAnsi" w:eastAsiaTheme="majorEastAsia" w:hAnsiTheme="majorHAnsi" w:cstheme="majorBidi"/>
          <w:b/>
          <w:bCs/>
          <w:color w:val="004B8D"/>
          <w:sz w:val="26"/>
        </w:rPr>
        <w:t>This section defines mandatory requirements.</w:t>
      </w:r>
    </w:p>
    <w:p w14:paraId="0946B68B" w14:textId="77777777" w:rsidR="00B36FAC" w:rsidRPr="00B36FAC" w:rsidRDefault="00B36FAC" w:rsidP="00B36FAC">
      <w:pPr>
        <w:rPr>
          <w:rFonts w:asciiTheme="majorHAnsi" w:eastAsiaTheme="majorEastAsia" w:hAnsiTheme="majorHAnsi" w:cstheme="majorBidi"/>
          <w:b/>
          <w:bCs/>
          <w:color w:val="004B8D"/>
          <w:sz w:val="26"/>
        </w:rPr>
      </w:pPr>
    </w:p>
    <w:p w14:paraId="78D59AA8" w14:textId="77777777" w:rsidR="00B36FAC" w:rsidRPr="00B36FAC" w:rsidRDefault="00B36FAC" w:rsidP="00B36FAC">
      <w:r>
        <w:lastRenderedPageBreak/>
        <w:t>Requirement keywords:</w:t>
      </w:r>
    </w:p>
    <w:p w14:paraId="359B06A8" w14:textId="77777777" w:rsidR="00B36FAC" w:rsidRPr="00B36FAC" w:rsidRDefault="00B36FAC" w:rsidP="00B36FAC">
      <w:r>
        <w:t>- MUST – Required</w:t>
      </w:r>
    </w:p>
    <w:p w14:paraId="175B3CF7" w14:textId="77777777" w:rsidR="00B36FAC" w:rsidRPr="00B36FAC" w:rsidRDefault="00B36FAC" w:rsidP="00B36FAC">
      <w:r>
        <w:t>- MUST NOT – Prohibited</w:t>
      </w:r>
    </w:p>
    <w:p w14:paraId="223E92B8" w14:textId="77777777" w:rsidR="00B36FAC" w:rsidRPr="00B36FAC" w:rsidRDefault="00B36FAC" w:rsidP="00B36FAC">
      <w:r>
        <w:t>- SHOULD – Recommended</w:t>
      </w:r>
    </w:p>
    <w:p w14:paraId="558F5F28" w14:textId="77777777" w:rsidR="00B36FAC" w:rsidRPr="00B36FAC" w:rsidRDefault="00B36FAC" w:rsidP="00B36FAC">
      <w:r>
        <w:t>- MAY – Optional</w:t>
      </w:r>
    </w:p>
    <w:p w14:paraId="784251DA" w14:textId="77777777" w:rsidR="00B36FAC" w:rsidRPr="00B36FAC" w:rsidRDefault="00B36FAC" w:rsidP="00B36FAC">
      <w:pPr>
        <w:rPr>
          <w:rFonts w:asciiTheme="majorHAnsi" w:eastAsiaTheme="majorEastAsia" w:hAnsiTheme="majorHAnsi" w:cstheme="majorBidi"/>
          <w:b/>
          <w:bCs/>
          <w:color w:val="004B8D"/>
          <w:sz w:val="26"/>
        </w:rPr>
      </w:pPr>
    </w:p>
    <w:p>
      <w:pPr>
        <w:rPr>
          <w:rFonts w:asciiTheme="majorHAnsi" w:eastAsiaTheme="majorEastAsia" w:hAnsiTheme="majorHAnsi" w:cstheme="majorBidi"/>
          <w:b/>
          <w:bCs/>
          <w:color w:val="004B8D"/>
          <w:sz w:val="26"/>
        </w:rPr>
      </w:pPr>
      <w:r>
        <w:rPr>
          <w:rFonts w:asciiTheme="majorHAnsi" w:eastAsiaTheme="majorEastAsia" w:hAnsiTheme="majorHAnsi" w:cstheme="majorBidi"/>
          <w:b/>
          <w:bCs/>
          <w:color w:val="004B8D"/>
          <w:sz w:val="26"/>
        </w:rPr>
        <w:t>3.1 Provisioning Requirements</w:t>
      </w:r>
    </w:p>
    <w:p>
      <w:pPr>
        <w:rPr>
          <w:rFonts w:asciiTheme="majorHAnsi" w:eastAsiaTheme="majorEastAsia" w:hAnsiTheme="majorHAnsi" w:cstheme="majorBidi"/>
          <w:b/>
          <w:bCs/>
          <w:color w:val="004B8D"/>
          <w:sz w:val="26"/>
        </w:rPr>
      </w:pPr>
    </w:p>
    <w:p>
      <w:r>
        <w:t>Each AWS Lambda function MUST be provisioned through standardized, version-controlled infrastructure. Lambda functions represent long-lived AWS resources and MUST NOT be created or modified through ad hoc means.</w:t>
      </w:r>
    </w:p>
    <w:p>
      <w:r>
        <w:t>- All Lambda functions MUST be provisioned using the reusable Terraform module maintained at kfbmic/tf-module-lambda-function.</w:t>
      </w:r>
    </w:p>
    <w:p>
      <w:r>
        <w:t>- The module MUST be referenced from the project’s infrastructure repository, pinned to a specific version tag (?ref=vX.Y.Z).</w:t>
      </w:r>
    </w:p>
    <w:p>
      <w:r>
        <w:t>- Manual creation of Lambda functions through the AWS Console, AWS CLI, or other ad hoc methods MUST NOT be performed.</w:t>
      </w:r>
    </w:p>
    <w:p>
      <w:r>
        <w:t>- Function names MUST be constructed from the application_name and env_tier variables defined in the infrastructure repository, followed by a function-specific suffix.</w:t>
      </w:r>
    </w:p>
    <w:p>
      <w:r>
        <w:t>- The function name produced by Terraform MUST match the name targeted by the source repository’s deployment pipeline.</w:t>
      </w:r>
    </w:p>
    <w:p>
      <w:r>
        <w:t>- The reusable module MUST be invoked with code_managed_elsewhere = true; the infrastructure repository MUST NOT manage Lambda function code.</w:t>
      </w:r>
    </w:p>
    <w:p>
      <w:pPr>
        <w:rPr>
          <w:rFonts w:asciiTheme="majorHAnsi" w:eastAsiaTheme="majorEastAsia" w:hAnsiTheme="majorHAnsi" w:cstheme="majorBidi"/>
          <w:b/>
          <w:bCs/>
          <w:color w:val="004B8D"/>
          <w:sz w:val="26"/>
        </w:rPr>
      </w:pPr>
    </w:p>
    <w:p>
      <w:pPr>
        <w:rPr>
          <w:rFonts w:asciiTheme="majorHAnsi" w:eastAsiaTheme="majorEastAsia" w:hAnsiTheme="majorHAnsi" w:cstheme="majorBidi"/>
          <w:b/>
          <w:bCs/>
          <w:color w:val="004B8D"/>
          <w:sz w:val="26"/>
        </w:rPr>
      </w:pPr>
      <w:r>
        <w:rPr>
          <w:rFonts w:asciiTheme="majorHAnsi" w:eastAsiaTheme="majorEastAsia" w:hAnsiTheme="majorHAnsi" w:cstheme="majorBidi"/>
          <w:b/>
          <w:bCs/>
          <w:color w:val="004B8D"/>
          <w:sz w:val="26"/>
        </w:rPr>
        <w:t>3.2 Code Management and Repository Separation</w:t>
      </w:r>
    </w:p>
    <w:p>
      <w:pPr>
        <w:rPr>
          <w:rFonts w:asciiTheme="majorHAnsi" w:eastAsiaTheme="majorEastAsia" w:hAnsiTheme="majorHAnsi" w:cstheme="majorBidi"/>
          <w:b/>
          <w:bCs/>
          <w:color w:val="004B8D"/>
          <w:sz w:val="26"/>
        </w:rPr>
      </w:pPr>
    </w:p>
    <w:p>
      <w:r>
        <w:t>Lambda function code and Lambda infrastructure MUST be maintained in separate repositories. The two repositories operate independently and MUST NOT call each other directly; they are linked only by the AWS Lambda function name.</w:t>
      </w:r>
    </w:p>
    <w:p>
      <w:r>
        <w:t>- The source repository (*-src) MUST hold the Lambda function code, with each function in its own folder containing the entry point file and a dependency manifest.</w:t>
      </w:r>
    </w:p>
    <w:p>
      <w:r>
        <w:t>- A dependency manifest (e.g., requirements.txt) MUST be present for every function, even when no external dependencies are required.</w:t>
      </w:r>
    </w:p>
    <w:p>
      <w:r>
        <w:t>- The entry point function MUST match the handler value declared in the infrastructure repository.</w:t>
      </w:r>
    </w:p>
    <w:p>
      <w:r>
        <w:t>- The infrastructure repository (*-infra) MUST declare each Lambda function in its Terraform configuration and MUST NOT contain Lambda function source code.</w:t>
      </w:r>
    </w:p>
    <w:p>
      <w:r>
        <w:t>- Where a mapping file (e.g., config/lambdas.yml) associates folders with AWS function names, the mapped name MUST exactly match the name created in Terraform.</w:t>
      </w:r>
    </w:p>
    <w:p>
      <w:r>
        <w:t>- Hard-coded secrets MUST NOT be embedded in Lambda code or Terraform configuration; approved secret management mechanisms MUST be used.</w:t>
      </w:r>
    </w:p>
    <w:p>
      <w:pPr>
        <w:rPr>
          <w:rFonts w:asciiTheme="majorHAnsi" w:eastAsiaTheme="majorEastAsia" w:hAnsiTheme="majorHAnsi" w:cstheme="majorBidi"/>
          <w:b/>
          <w:bCs/>
          <w:color w:val="004B8D"/>
          <w:sz w:val="26"/>
        </w:rPr>
      </w:pPr>
    </w:p>
    <w:p>
      <w:pPr>
        <w:rPr>
          <w:rFonts w:asciiTheme="majorHAnsi" w:eastAsiaTheme="majorEastAsia" w:hAnsiTheme="majorHAnsi" w:cstheme="majorBidi"/>
          <w:b/>
          <w:bCs/>
          <w:color w:val="004B8D"/>
          <w:sz w:val="26"/>
        </w:rPr>
      </w:pPr>
      <w:r>
        <w:rPr>
          <w:rFonts w:asciiTheme="majorHAnsi" w:eastAsiaTheme="majorEastAsia" w:hAnsiTheme="majorHAnsi" w:cstheme="majorBidi"/>
          <w:b/>
          <w:bCs/>
          <w:color w:val="004B8D"/>
          <w:sz w:val="26"/>
        </w:rPr>
        <w:t>3.3 Deployment Requirements</w:t>
      </w:r>
    </w:p>
    <w:p>
      <w:pPr>
        <w:rPr>
          <w:rFonts w:asciiTheme="majorHAnsi" w:eastAsiaTheme="majorEastAsia" w:hAnsiTheme="majorHAnsi" w:cstheme="majorBidi"/>
          <w:b/>
          <w:bCs/>
          <w:color w:val="004B8D"/>
          <w:sz w:val="26"/>
        </w:rPr>
      </w:pPr>
    </w:p>
    <w:p>
      <w:r>
        <w:t>Lambda functions MUST be deployed through approved CI/CD pipelines. Direct deployment from engineer workstations MUST NOT be performed.</w:t>
      </w:r>
    </w:p>
    <w:p>
      <w:r>
        <w:t>- Infrastructure MUST be applied before code is deployed for any new function; code deployments against a function that does not yet exist MUST be treated as a failure.</w:t>
      </w:r>
    </w:p>
    <w:p>
      <w:r>
        <w:t>- Infrastructure changes MUST be proposed through a pull request, with the terraform plan output reviewed prior to merge.</w:t>
      </w:r>
    </w:p>
    <w:p>
      <w:r>
        <w:t>- Merges to the main branch of the infrastructure repository MUST trigger terraform apply through the approved GitHub Actions workflow.</w:t>
      </w:r>
    </w:p>
    <w:p>
      <w:r>
        <w:t>- Source changes MUST be proposed through a pull request that triggers validation and packaging checks; merges to main MUST trigger the deployment workflow.</w:t>
      </w:r>
    </w:p>
    <w:p>
      <w:r>
        <w:t>- The source pipeline SHOULD deploy only functions whose source has changed in the merge.</w:t>
      </w:r>
    </w:p>
    <w:p>
      <w:r>
        <w:t>- After each deployment, success MUST be verified through the GitHub Actions run status, the function’s Last modified timestamp in AWS, a test invocation, and CloudWatch Logs review.</w:t>
      </w:r>
    </w:p>
    <w:p>
      <w:pPr>
        <w:rPr>
          <w:rFonts w:asciiTheme="majorHAnsi" w:eastAsiaTheme="majorEastAsia" w:hAnsiTheme="majorHAnsi" w:cstheme="majorBidi"/>
          <w:b/>
          <w:bCs/>
          <w:color w:val="004B8D"/>
          <w:sz w:val="26"/>
        </w:rPr>
      </w:pPr>
    </w:p>
    <w:p>
      <w:pPr>
        <w:rPr>
          <w:rFonts w:asciiTheme="majorHAnsi" w:eastAsiaTheme="majorEastAsia" w:hAnsiTheme="majorHAnsi" w:cstheme="majorBidi"/>
          <w:b/>
          <w:bCs/>
          <w:color w:val="004B8D"/>
          <w:sz w:val="26"/>
        </w:rPr>
      </w:pPr>
      <w:r>
        <w:rPr>
          <w:rFonts w:asciiTheme="majorHAnsi" w:eastAsiaTheme="majorEastAsia" w:hAnsiTheme="majorHAnsi" w:cstheme="majorBidi"/>
          <w:b/>
          <w:bCs/>
          <w:color w:val="004B8D"/>
          <w:sz w:val="26"/>
        </w:rPr>
        <w:t>3.4 Ownership and Accountability</w:t>
      </w:r>
    </w:p>
    <w:p>
      <w:pPr>
        <w:rPr>
          <w:rFonts w:asciiTheme="majorHAnsi" w:eastAsiaTheme="majorEastAsia" w:hAnsiTheme="majorHAnsi" w:cstheme="majorBidi"/>
          <w:b/>
          <w:bCs/>
          <w:color w:val="004B8D"/>
          <w:sz w:val="26"/>
        </w:rPr>
      </w:pPr>
    </w:p>
    <w:p>
      <w:r>
        <w:t>Every Lambda function MUST have clear and documented accountability across both the infrastructure and source repositories.</w:t>
      </w:r>
    </w:p>
    <w:p>
      <w:r>
        <w:t>- The reusable Lambda module (kfbmic/tf-module-lambda-function) MUST be owned and maintained by Cloud Platform teams, with versions released through tagged releases.</w:t>
      </w:r>
    </w:p>
    <w:p>
      <w:r>
        <w:t>- Each Lambda function MUST have an identified accountable owner within the project team responsible for the workload.</w:t>
      </w:r>
    </w:p>
    <w:p>
      <w:r>
        <w:t>- Project-level accountability includes responsibility for the function’s business purpose, code correctness, dependency hygiene, configuration choices, and monitoring.</w:t>
      </w:r>
    </w:p>
    <w:p>
      <w:r>
        <w:t>- Use of the shared module and centralized pipelines MUST NOT be interpreted as transferring function-level risk ownership to platform teams.</w:t>
      </w:r>
    </w:p>
    <w:p>
      <w:r>
        <w:t>- Workloads MUST support monitoring, logging, and operational visibility through CloudWatch Logs and approved observability tooling.</w:t>
      </w:r>
    </w:p>
    <w:p w14:paraId="1AB7FAD8" w14:textId="77777777" w:rsidR="00DE26AB" w:rsidRDefault="00000000">
      <w:r>
        <w:pict w14:anchorId="460AFE2B">
          <v:rect id="_x0000_i1078" style="width:0;height:1.5pt" o:hralign="center" o:hrstd="t" o:hr="t"/>
        </w:pict>
      </w:r>
    </w:p>
    <w:bookmarkEnd w:id="0"/>
    <w:bookmarkEnd w:id="7"/>
    <w:bookmarkEnd w:id="8"/>
    <w:p w14:paraId="2B38F4EE" w14:textId="77777777" w:rsidR="00B36FAC" w:rsidRPr="00B36FAC" w:rsidRDefault="00B36FAC" w:rsidP="00B36FAC">
      <w:pPr>
        <w:rPr>
          <w:rFonts w:asciiTheme="majorHAnsi" w:eastAsiaTheme="majorEastAsia" w:hAnsiTheme="majorHAnsi" w:cstheme="majorBidi"/>
          <w:b/>
          <w:bCs/>
          <w:color w:val="004B8D"/>
          <w:sz w:val="32"/>
          <w:szCs w:val="26"/>
        </w:rPr>
      </w:pPr>
      <w:r>
        <w:rPr>
          <w:rFonts w:asciiTheme="majorHAnsi" w:eastAsiaTheme="majorEastAsia" w:hAnsiTheme="majorHAnsi" w:cstheme="majorBidi"/>
          <w:b/>
          <w:bCs/>
          <w:color w:val="004B8D"/>
          <w:sz w:val="32"/>
          <w:szCs w:val="26"/>
        </w:rPr>
        <w:t>4. Rationale</w:t>
      </w:r>
    </w:p>
    <w:p w14:paraId="43190828" w14:textId="77777777" w:rsidR="00B36FAC" w:rsidRPr="00B36FAC" w:rsidRDefault="00B36FAC" w:rsidP="00B36FAC">
      <w:pPr>
        <w:rPr>
          <w:rFonts w:asciiTheme="majorHAnsi" w:eastAsiaTheme="majorEastAsia" w:hAnsiTheme="majorHAnsi" w:cstheme="majorBidi"/>
          <w:b/>
          <w:bCs/>
          <w:color w:val="004B8D"/>
          <w:sz w:val="32"/>
          <w:szCs w:val="26"/>
        </w:rPr>
      </w:pPr>
    </w:p>
    <w:p w14:paraId="325ABB20" w14:textId="77777777" w:rsidR="00B36FAC" w:rsidRDefault="00B36FAC" w:rsidP="00B36FAC">
      <w:r>
        <w:t>AWS Lambda functions sit at the intersection of infrastructure and application code. Treating them with a consistent lifecycle reduces the risk of drift between what Terraform believes exists and what is actually running, and ensures that ownership boundaries remain clear as adoption grows. This standard deliberately separates infrastructure provisioning, code delivery, and accountability into distinct concerns, mirroring how the two repositories are structured. Requiring a strict deployment order — infrastructure first, code second — and a single name-based contract between repositories preserves the independence of the two pipelines without introducing hidden coupling, supporting incremental cloud maturity while keeping the platform predictable.</w:t>
      </w:r>
    </w:p>
    <w:p w14:paraId="086D71C8" w14:textId="77777777" w:rsidR="00B36FAC" w:rsidRDefault="00B36FAC" w:rsidP="00B36FAC">
      <w:r>
        <w:pict w14:anchorId="79BAA589">
          <v:rect id="_x0000_i1100" style="width:0;height:1.5pt" o:hralign="center" o:hrstd="t" o:hr="t"/>
        </w:pict>
      </w:r>
    </w:p>
    <w:p w14:paraId="142C3A24" w14:textId="77777777" w:rsidR="00B36FAC" w:rsidRPr="00B36FAC" w:rsidRDefault="00B36FAC" w:rsidP="00B36FAC">
      <w:pPr>
        <w:pStyle w:val="Heading2"/>
      </w:pPr>
      <w:r>
        <w:t>5. Compliance and Enforcement</w:t>
      </w:r>
    </w:p>
    <w:p w14:paraId="7FBF24A2" w14:textId="77777777" w:rsidR="00B36FAC" w:rsidRPr="00B36FAC" w:rsidRDefault="00B36FAC" w:rsidP="00B36FAC"/>
    <w:p w14:paraId="62ED4579" w14:textId="77777777" w:rsidR="00B36FAC" w:rsidRDefault="00B36FAC" w:rsidP="00B36FAC">
      <w:r>
        <w:t>Compliance may be validated through automated controls, reviews, or platform guardrails. Non-compliance may require remediation or formally approved exceptions.</w:t>
      </w:r>
    </w:p>
    <w:p w14:paraId="1A20380B" w14:textId="77777777" w:rsidR="00B36FAC" w:rsidRDefault="00B36FAC" w:rsidP="00B36FAC"/>
    <w:p w14:paraId="097BC474" w14:textId="77777777" w:rsidR="00B36FAC" w:rsidRDefault="00B36FAC" w:rsidP="00B36FAC">
      <w:r>
        <w:pict w14:anchorId="7177516D">
          <v:rect id="_x0000_i1113" style="width:0;height:1.5pt" o:hralign="center" o:bullet="t" o:hrstd="t" o:hr="t"/>
        </w:pict>
      </w:r>
    </w:p>
    <w:p w14:paraId="5AF9FB96" w14:textId="77777777" w:rsidR="00B36FAC" w:rsidRPr="00B36FAC" w:rsidRDefault="00B36FAC" w:rsidP="00B36FAC">
      <w:pPr>
        <w:pStyle w:val="Heading2"/>
      </w:pPr>
      <w:r>
        <w:t>6. Exceptions and Deviations</w:t>
      </w:r>
    </w:p>
    <w:p w14:paraId="433580B5" w14:textId="77777777" w:rsidR="00B36FAC" w:rsidRPr="00B36FAC" w:rsidRDefault="00B36FAC" w:rsidP="00B36FAC"/>
    <w:p w14:paraId="76978A13" w14:textId="77777777" w:rsidR="00B36FAC" w:rsidRPr="00B36FAC" w:rsidRDefault="00B36FAC" w:rsidP="00B36FAC">
      <w:r>
        <w:t>Exceptions require documented justification, defined scope and duration, and approval by the appropriate authority. Exceptions are reviewed periodically.</w:t>
      </w:r>
    </w:p>
    <w:p w14:paraId="13C16A2F" w14:textId="77777777" w:rsidR="00B36FAC" w:rsidRDefault="00B36FAC" w:rsidP="00B36FAC"/>
    <w:p w14:paraId="1BD75BEA" w14:textId="77777777" w:rsidR="00B36FAC" w:rsidRDefault="00B36FAC" w:rsidP="00B36FAC">
      <w:r>
        <w:pict w14:anchorId="6B46F2A4">
          <v:rect id="_x0000_i1114" style="width:0;height:1.5pt" o:hralign="center" o:hrstd="t" o:hr="t"/>
        </w:pict>
      </w:r>
    </w:p>
    <w:p w14:paraId="4722233F" w14:textId="77777777" w:rsidR="00B36FAC" w:rsidRPr="00B36FAC" w:rsidRDefault="00B36FAC" w:rsidP="00B36FAC"/>
    <w:p w14:paraId="4D911A7E" w14:textId="77777777" w:rsidR="00B36FAC" w:rsidRPr="00B36FAC" w:rsidRDefault="00B36FAC" w:rsidP="00B36FAC">
      <w:pPr>
        <w:pStyle w:val="Heading2"/>
      </w:pPr>
      <w:r>
        <w:t>7. References</w:t>
      </w:r>
    </w:p>
    <w:p w14:paraId="52B2303C" w14:textId="77777777" w:rsidR="00B36FAC" w:rsidRPr="00B36FAC" w:rsidRDefault="00B36FAC" w:rsidP="00B36FAC"/>
    <w:p w14:paraId="18F14D2F" w14:textId="77777777" w:rsidR="00B36FAC" w:rsidRPr="00B36FAC" w:rsidRDefault="00B36FAC" w:rsidP="00B36FAC">
      <w:r>
        <w:t>- Reusable Lambda Terraform Module (kfbmic/tf-module-lambda-function)</w:t>
      </w:r>
    </w:p>
    <w:p w14:paraId="7C2AC050" w14:textId="77777777" w:rsidR="00B36FAC" w:rsidRPr="00B36FAC" w:rsidRDefault="00B36FAC" w:rsidP="00B36FAC">
      <w:r>
        <w:t>- Runbook: Lambda Build and Deployment</w:t>
      </w:r>
    </w:p>
    <w:p w14:paraId="6AA7EA8E" w14:textId="6BE2C3CD" w:rsidR="00FF6D90" w:rsidRPr="00B36FAC" w:rsidRDefault="00B36FAC">
      <w:r>
        <w:t>- AWS Account Management Standard, KFB Tagging Standard, and related Cloud Platform Standards</w:t>
      </w:r>
    </w:p>
    <w:sectPr w:rsidR="00FF6D90" w:rsidRPr="00B36FAC" w:rsidSect="00BC45E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F6B7A" w14:textId="77777777" w:rsidR="003628CD" w:rsidRDefault="003628CD" w:rsidP="00BC45E3">
      <w:pPr>
        <w:spacing w:after="0" w:line="240" w:lineRule="auto"/>
      </w:pPr>
      <w:r>
        <w:separator/>
      </w:r>
    </w:p>
  </w:endnote>
  <w:endnote w:type="continuationSeparator" w:id="0">
    <w:p w14:paraId="30CF58AF" w14:textId="77777777" w:rsidR="003628CD" w:rsidRDefault="003628CD" w:rsidP="00BC4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B233" w14:textId="77777777" w:rsidR="00BC45E3" w:rsidRDefault="00BC45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54C0" w14:textId="77777777" w:rsidR="00BC45E3" w:rsidRDefault="00BC45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25E6" w14:textId="77777777" w:rsidR="00BC45E3" w:rsidRDefault="00BC45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EE0B" w14:textId="77777777" w:rsidR="003628CD" w:rsidRDefault="003628CD" w:rsidP="00BC45E3">
      <w:pPr>
        <w:spacing w:after="0" w:line="240" w:lineRule="auto"/>
      </w:pPr>
      <w:r>
        <w:separator/>
      </w:r>
    </w:p>
  </w:footnote>
  <w:footnote w:type="continuationSeparator" w:id="0">
    <w:p w14:paraId="2DD83DD3" w14:textId="77777777" w:rsidR="003628CD" w:rsidRDefault="003628CD" w:rsidP="00BC4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296E" w14:textId="77777777" w:rsidR="00BC45E3" w:rsidRDefault="00BC4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413881"/>
      <w:docPartObj>
        <w:docPartGallery w:val="Page Numbers (Top of Page)"/>
        <w:docPartUnique/>
      </w:docPartObj>
    </w:sdtPr>
    <w:sdtEndPr>
      <w:rPr>
        <w:noProof/>
      </w:rPr>
    </w:sdtEndPr>
    <w:sdtContent>
      <w:p w14:paraId="7585928D" w14:textId="1EAA8E54" w:rsidR="00BC45E3" w:rsidRDefault="00BC45E3">
        <w:pPr>
          <w:pStyle w:val="Header"/>
        </w:pPr>
        <w:r>
          <w:fldChar w:fldCharType="begin"/>
        </w:r>
        <w:r>
          <w:instrText xml:space="preserve"> PAGE   \* MERGEFORMAT </w:instrText>
        </w:r>
        <w:r>
          <w:fldChar w:fldCharType="separate"/>
        </w:r>
        <w:r>
          <w:rPr>
            <w:noProof/>
          </w:rPr>
          <w:t>2</w:t>
        </w:r>
        <w:r>
          <w:rPr>
            <w:noProof/>
          </w:rPr>
          <w:fldChar w:fldCharType="end"/>
        </w:r>
      </w:p>
    </w:sdtContent>
  </w:sdt>
  <w:p w14:paraId="763656B6" w14:textId="77777777" w:rsidR="00BC45E3" w:rsidRDefault="00BC45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795C" w14:textId="77777777" w:rsidR="00BC45E3" w:rsidRDefault="00BC4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0406E88"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C0AF4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05F623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3F408C8"/>
    <w:multiLevelType w:val="hybridMultilevel"/>
    <w:tmpl w:val="005C4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31F69"/>
    <w:multiLevelType w:val="hybridMultilevel"/>
    <w:tmpl w:val="856885C6"/>
    <w:lvl w:ilvl="0" w:tplc="7A848332">
      <w:start w:val="1"/>
      <w:numFmt w:val="bullet"/>
      <w:lvlText w:val=""/>
      <w:lvlPicBulletId w:val="0"/>
      <w:lvlJc w:val="left"/>
      <w:pPr>
        <w:tabs>
          <w:tab w:val="num" w:pos="720"/>
        </w:tabs>
        <w:ind w:left="720" w:hanging="360"/>
      </w:pPr>
      <w:rPr>
        <w:rFonts w:ascii="Symbol" w:hAnsi="Symbol" w:hint="default"/>
      </w:rPr>
    </w:lvl>
    <w:lvl w:ilvl="1" w:tplc="79B2174A" w:tentative="1">
      <w:start w:val="1"/>
      <w:numFmt w:val="bullet"/>
      <w:lvlText w:val=""/>
      <w:lvlJc w:val="left"/>
      <w:pPr>
        <w:tabs>
          <w:tab w:val="num" w:pos="1440"/>
        </w:tabs>
        <w:ind w:left="1440" w:hanging="360"/>
      </w:pPr>
      <w:rPr>
        <w:rFonts w:ascii="Symbol" w:hAnsi="Symbol" w:hint="default"/>
      </w:rPr>
    </w:lvl>
    <w:lvl w:ilvl="2" w:tplc="C25845DE" w:tentative="1">
      <w:start w:val="1"/>
      <w:numFmt w:val="bullet"/>
      <w:lvlText w:val=""/>
      <w:lvlJc w:val="left"/>
      <w:pPr>
        <w:tabs>
          <w:tab w:val="num" w:pos="2160"/>
        </w:tabs>
        <w:ind w:left="2160" w:hanging="360"/>
      </w:pPr>
      <w:rPr>
        <w:rFonts w:ascii="Symbol" w:hAnsi="Symbol" w:hint="default"/>
      </w:rPr>
    </w:lvl>
    <w:lvl w:ilvl="3" w:tplc="A3E2BC6C" w:tentative="1">
      <w:start w:val="1"/>
      <w:numFmt w:val="bullet"/>
      <w:lvlText w:val=""/>
      <w:lvlJc w:val="left"/>
      <w:pPr>
        <w:tabs>
          <w:tab w:val="num" w:pos="2880"/>
        </w:tabs>
        <w:ind w:left="2880" w:hanging="360"/>
      </w:pPr>
      <w:rPr>
        <w:rFonts w:ascii="Symbol" w:hAnsi="Symbol" w:hint="default"/>
      </w:rPr>
    </w:lvl>
    <w:lvl w:ilvl="4" w:tplc="3502E2A4" w:tentative="1">
      <w:start w:val="1"/>
      <w:numFmt w:val="bullet"/>
      <w:lvlText w:val=""/>
      <w:lvlJc w:val="left"/>
      <w:pPr>
        <w:tabs>
          <w:tab w:val="num" w:pos="3600"/>
        </w:tabs>
        <w:ind w:left="3600" w:hanging="360"/>
      </w:pPr>
      <w:rPr>
        <w:rFonts w:ascii="Symbol" w:hAnsi="Symbol" w:hint="default"/>
      </w:rPr>
    </w:lvl>
    <w:lvl w:ilvl="5" w:tplc="2FFC1BAC" w:tentative="1">
      <w:start w:val="1"/>
      <w:numFmt w:val="bullet"/>
      <w:lvlText w:val=""/>
      <w:lvlJc w:val="left"/>
      <w:pPr>
        <w:tabs>
          <w:tab w:val="num" w:pos="4320"/>
        </w:tabs>
        <w:ind w:left="4320" w:hanging="360"/>
      </w:pPr>
      <w:rPr>
        <w:rFonts w:ascii="Symbol" w:hAnsi="Symbol" w:hint="default"/>
      </w:rPr>
    </w:lvl>
    <w:lvl w:ilvl="6" w:tplc="DD244DF6" w:tentative="1">
      <w:start w:val="1"/>
      <w:numFmt w:val="bullet"/>
      <w:lvlText w:val=""/>
      <w:lvlJc w:val="left"/>
      <w:pPr>
        <w:tabs>
          <w:tab w:val="num" w:pos="5040"/>
        </w:tabs>
        <w:ind w:left="5040" w:hanging="360"/>
      </w:pPr>
      <w:rPr>
        <w:rFonts w:ascii="Symbol" w:hAnsi="Symbol" w:hint="default"/>
      </w:rPr>
    </w:lvl>
    <w:lvl w:ilvl="7" w:tplc="49969660" w:tentative="1">
      <w:start w:val="1"/>
      <w:numFmt w:val="bullet"/>
      <w:lvlText w:val=""/>
      <w:lvlJc w:val="left"/>
      <w:pPr>
        <w:tabs>
          <w:tab w:val="num" w:pos="5760"/>
        </w:tabs>
        <w:ind w:left="5760" w:hanging="360"/>
      </w:pPr>
      <w:rPr>
        <w:rFonts w:ascii="Symbol" w:hAnsi="Symbol" w:hint="default"/>
      </w:rPr>
    </w:lvl>
    <w:lvl w:ilvl="8" w:tplc="8814C898" w:tentative="1">
      <w:start w:val="1"/>
      <w:numFmt w:val="bullet"/>
      <w:lvlText w:val=""/>
      <w:lvlJc w:val="left"/>
      <w:pPr>
        <w:tabs>
          <w:tab w:val="num" w:pos="6480"/>
        </w:tabs>
        <w:ind w:left="6480" w:hanging="360"/>
      </w:pPr>
      <w:rPr>
        <w:rFonts w:ascii="Symbol" w:hAnsi="Symbol" w:hint="default"/>
      </w:rPr>
    </w:lvl>
  </w:abstractNum>
  <w:num w:numId="1" w16cid:durableId="1449468108">
    <w:abstractNumId w:val="8"/>
  </w:num>
  <w:num w:numId="2" w16cid:durableId="1863862132">
    <w:abstractNumId w:val="6"/>
  </w:num>
  <w:num w:numId="3" w16cid:durableId="800732641">
    <w:abstractNumId w:val="5"/>
  </w:num>
  <w:num w:numId="4" w16cid:durableId="1299610225">
    <w:abstractNumId w:val="4"/>
  </w:num>
  <w:num w:numId="5" w16cid:durableId="857355179">
    <w:abstractNumId w:val="7"/>
  </w:num>
  <w:num w:numId="6" w16cid:durableId="1137406625">
    <w:abstractNumId w:val="3"/>
  </w:num>
  <w:num w:numId="7" w16cid:durableId="699361598">
    <w:abstractNumId w:val="2"/>
  </w:num>
  <w:num w:numId="8" w16cid:durableId="1374961128">
    <w:abstractNumId w:val="1"/>
  </w:num>
  <w:num w:numId="9" w16cid:durableId="1116485611">
    <w:abstractNumId w:val="0"/>
  </w:num>
  <w:num w:numId="10" w16cid:durableId="576015072">
    <w:abstractNumId w:val="9"/>
  </w:num>
  <w:num w:numId="11" w16cid:durableId="9718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6884455">
    <w:abstractNumId w:val="11"/>
  </w:num>
  <w:num w:numId="13" w16cid:durableId="305164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8CD"/>
    <w:rsid w:val="004B7C3E"/>
    <w:rsid w:val="005F3C7C"/>
    <w:rsid w:val="0069291E"/>
    <w:rsid w:val="006C3D7B"/>
    <w:rsid w:val="00733180"/>
    <w:rsid w:val="00754D39"/>
    <w:rsid w:val="00761141"/>
    <w:rsid w:val="009F7A11"/>
    <w:rsid w:val="00AA1D8D"/>
    <w:rsid w:val="00B20C22"/>
    <w:rsid w:val="00B36FAC"/>
    <w:rsid w:val="00B47730"/>
    <w:rsid w:val="00BC45E3"/>
    <w:rsid w:val="00C216CF"/>
    <w:rsid w:val="00CB0664"/>
    <w:rsid w:val="00DE26AB"/>
    <w:rsid w:val="00E06A80"/>
    <w:rsid w:val="00FC693F"/>
    <w:rsid w:val="00FF6D90"/>
    <w:rsid w:val="462CB95D"/>
    <w:rsid w:val="53D6A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EF86F"/>
  <w15:docId w15:val="{85E33503-788F-4812-929F-7122E362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FAC"/>
    <w:rPr>
      <w:rFonts w:ascii="Segoe UI" w:hAnsi="Segoe UI"/>
      <w:color w:val="343A4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B8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B8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4B8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4B8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0"/>
    <w:rPr>
      <w:b/>
      <w:color w:val="007020"/>
    </w:rPr>
  </w:style>
  <w:style w:type="character" w:customStyle="1" w:styleId="DataTypeTok0">
    <w:name w:val="DataTypeTok0"/>
    <w:rPr>
      <w:color w:val="902000"/>
    </w:rPr>
  </w:style>
  <w:style w:type="character" w:customStyle="1" w:styleId="DecValTok0">
    <w:name w:val="DecValTok0"/>
    <w:rPr>
      <w:color w:val="40A070"/>
    </w:rPr>
  </w:style>
  <w:style w:type="character" w:customStyle="1" w:styleId="BaseNTok0">
    <w:name w:val="BaseNTok0"/>
    <w:rPr>
      <w:color w:val="40A070"/>
    </w:rPr>
  </w:style>
  <w:style w:type="character" w:customStyle="1" w:styleId="FloatTok0">
    <w:name w:val="FloatTok0"/>
    <w:rPr>
      <w:color w:val="40A070"/>
    </w:rPr>
  </w:style>
  <w:style w:type="character" w:customStyle="1" w:styleId="ConstantTok0">
    <w:name w:val="ConstantTok0"/>
    <w:rPr>
      <w:color w:val="880000"/>
    </w:rPr>
  </w:style>
  <w:style w:type="character" w:customStyle="1" w:styleId="CharTok0">
    <w:name w:val="CharTok0"/>
    <w:rPr>
      <w:color w:val="4070A0"/>
    </w:rPr>
  </w:style>
  <w:style w:type="character" w:customStyle="1" w:styleId="SpecialCharTok0">
    <w:name w:val="SpecialCharTok0"/>
    <w:rPr>
      <w:color w:val="4070A0"/>
    </w:rPr>
  </w:style>
  <w:style w:type="character" w:customStyle="1" w:styleId="StringTok0">
    <w:name w:val="StringTok0"/>
    <w:rPr>
      <w:color w:val="4070A0"/>
    </w:rPr>
  </w:style>
  <w:style w:type="character" w:customStyle="1" w:styleId="VerbatimStringTok0">
    <w:name w:val="VerbatimStringTok0"/>
    <w:rPr>
      <w:color w:val="4070A0"/>
    </w:rPr>
  </w:style>
  <w:style w:type="character" w:customStyle="1" w:styleId="SpecialStringTok0">
    <w:name w:val="SpecialStringTok0"/>
    <w:rPr>
      <w:color w:val="BB6688"/>
    </w:rPr>
  </w:style>
  <w:style w:type="character" w:customStyle="1" w:styleId="ImportTok0">
    <w:name w:val="ImportTok0"/>
    <w:rPr>
      <w:b/>
      <w:color w:val="008000"/>
    </w:rPr>
  </w:style>
  <w:style w:type="character" w:customStyle="1" w:styleId="CommentTok0">
    <w:name w:val="CommentTok0"/>
    <w:rPr>
      <w:i/>
      <w:color w:val="60A0B0"/>
    </w:rPr>
  </w:style>
  <w:style w:type="character" w:customStyle="1" w:styleId="DocumentationTok0">
    <w:name w:val="DocumentationTok0"/>
    <w:rPr>
      <w:i/>
      <w:color w:val="BA2121"/>
    </w:rPr>
  </w:style>
  <w:style w:type="character" w:customStyle="1" w:styleId="AnnotationTok0">
    <w:name w:val="AnnotationTok0"/>
    <w:rPr>
      <w:b/>
      <w:i/>
      <w:color w:val="60A0B0"/>
    </w:rPr>
  </w:style>
  <w:style w:type="character" w:customStyle="1" w:styleId="CommentVarTok0">
    <w:name w:val="CommentVarTok0"/>
    <w:rPr>
      <w:b/>
      <w:i/>
      <w:color w:val="60A0B0"/>
    </w:rPr>
  </w:style>
  <w:style w:type="character" w:customStyle="1" w:styleId="OtherTok0">
    <w:name w:val="OtherTok0"/>
    <w:rPr>
      <w:color w:val="007020"/>
    </w:rPr>
  </w:style>
  <w:style w:type="character" w:customStyle="1" w:styleId="FunctionTok0">
    <w:name w:val="FunctionTok0"/>
    <w:rPr>
      <w:color w:val="06287E"/>
    </w:rPr>
  </w:style>
  <w:style w:type="character" w:customStyle="1" w:styleId="VariableTok0">
    <w:name w:val="VariableTok0"/>
    <w:rPr>
      <w:color w:val="19177C"/>
    </w:rPr>
  </w:style>
  <w:style w:type="character" w:customStyle="1" w:styleId="ControlFlowTok0">
    <w:name w:val="ControlFlowTok0"/>
    <w:rPr>
      <w:b/>
      <w:color w:val="007020"/>
    </w:rPr>
  </w:style>
  <w:style w:type="character" w:customStyle="1" w:styleId="OperatorTok0">
    <w:name w:val="OperatorTok0"/>
    <w:rPr>
      <w:color w:val="666666"/>
    </w:rPr>
  </w:style>
  <w:style w:type="character" w:customStyle="1" w:styleId="BuiltInTok0">
    <w:name w:val="BuiltInTok0"/>
    <w:rPr>
      <w:color w:val="008000"/>
    </w:rPr>
  </w:style>
  <w:style w:type="character" w:customStyle="1" w:styleId="ExtensionTok0">
    <w:name w:val="ExtensionTok0"/>
  </w:style>
  <w:style w:type="character" w:customStyle="1" w:styleId="PreprocessorTok0">
    <w:name w:val="PreprocessorTok0"/>
    <w:rPr>
      <w:color w:val="BC7A00"/>
    </w:rPr>
  </w:style>
  <w:style w:type="character" w:customStyle="1" w:styleId="AttributeTok0">
    <w:name w:val="AttributeTok0"/>
    <w:rPr>
      <w:color w:val="7D9029"/>
    </w:rPr>
  </w:style>
  <w:style w:type="character" w:customStyle="1" w:styleId="RegionMarkerTok0">
    <w:name w:val="RegionMarkerTok0"/>
  </w:style>
  <w:style w:type="character" w:customStyle="1" w:styleId="InformationTok0">
    <w:name w:val="InformationTok0"/>
    <w:rPr>
      <w:b/>
      <w:i/>
      <w:color w:val="60A0B0"/>
    </w:rPr>
  </w:style>
  <w:style w:type="character" w:customStyle="1" w:styleId="WarningTok0">
    <w:name w:val="WarningTok0"/>
    <w:rPr>
      <w:b/>
      <w:i/>
      <w:color w:val="60A0B0"/>
    </w:rPr>
  </w:style>
  <w:style w:type="character" w:customStyle="1" w:styleId="AlertTok0">
    <w:name w:val="AlertTok0"/>
    <w:rPr>
      <w:b/>
      <w:color w:val="FF0000"/>
    </w:rPr>
  </w:style>
  <w:style w:type="character" w:customStyle="1" w:styleId="ErrorTok0">
    <w:name w:val="ErrorTok0"/>
    <w:rPr>
      <w:b/>
      <w:color w:val="FF0000"/>
    </w:rPr>
  </w:style>
  <w:style w:type="character" w:customStyle="1" w:styleId="NormalTok0">
    <w:name w:val="NormalTok0"/>
  </w:style>
  <w:style w:type="paragraph" w:styleId="TOC2">
    <w:name w:val="toc 2"/>
    <w:basedOn w:val="Normal"/>
    <w:next w:val="Normal"/>
    <w:autoRedefine/>
    <w:uiPriority w:val="39"/>
    <w:unhideWhenUsed/>
    <w:rsid w:val="006C3D7B"/>
    <w:pPr>
      <w:spacing w:after="100"/>
      <w:ind w:left="220"/>
    </w:pPr>
  </w:style>
  <w:style w:type="paragraph" w:styleId="TOC1">
    <w:name w:val="toc 1"/>
    <w:basedOn w:val="Normal"/>
    <w:next w:val="Normal"/>
    <w:autoRedefine/>
    <w:uiPriority w:val="39"/>
    <w:unhideWhenUsed/>
    <w:rsid w:val="006C3D7B"/>
    <w:pPr>
      <w:spacing w:after="100"/>
    </w:pPr>
  </w:style>
  <w:style w:type="table" w:styleId="GridTable1Light">
    <w:name w:val="Grid Table 1 Light"/>
    <w:basedOn w:val="TableNormal"/>
    <w:uiPriority w:val="46"/>
    <w:rsid w:val="006C3D7B"/>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C3D7B"/>
    <w:rPr>
      <w:color w:val="0000FF" w:themeColor="hyperlink"/>
      <w:u w:val="single"/>
    </w:rPr>
  </w:style>
  <w:style w:type="paragraph" w:styleId="TOC3">
    <w:name w:val="toc 3"/>
    <w:basedOn w:val="Normal"/>
    <w:next w:val="Normal"/>
    <w:autoRedefine/>
    <w:uiPriority w:val="39"/>
    <w:unhideWhenUsed/>
    <w:rsid w:val="006C3D7B"/>
    <w:pPr>
      <w:spacing w:after="100"/>
      <w:ind w:left="440"/>
    </w:pPr>
    <w:rPr>
      <w:rFonts w:asciiTheme="minorHAnsi"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0F6462E48F2D4BBEBE1744B8052669" ma:contentTypeVersion="20" ma:contentTypeDescription="Create a new document." ma:contentTypeScope="" ma:versionID="f44b100a54b82827261f1d8e7b244d93">
  <xsd:schema xmlns:xsd="http://www.w3.org/2001/XMLSchema" xmlns:xs="http://www.w3.org/2001/XMLSchema" xmlns:p="http://schemas.microsoft.com/office/2006/metadata/properties" xmlns:ns1="http://schemas.microsoft.com/sharepoint/v3" xmlns:ns2="dd23407e-4f88-4dab-bbdf-a3d2889f7354" xmlns:ns3="0cdd48d0-55e8-40d9-b005-bcc07dfbea2f" targetNamespace="http://schemas.microsoft.com/office/2006/metadata/properties" ma:root="true" ma:fieldsID="ecd0406645e052b0d6d6ee5abc4d6b17" ns1:_="" ns2:_="" ns3:_="">
    <xsd:import namespace="http://schemas.microsoft.com/sharepoint/v3"/>
    <xsd:import namespace="dd23407e-4f88-4dab-bbdf-a3d2889f7354"/>
    <xsd:import namespace="0cdd48d0-55e8-40d9-b005-bcc07dfbea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23407e-4f88-4dab-bbdf-a3d2889f7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030410d-bbc0-440b-a61b-246226e3658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dd48d0-55e8-40d9-b005-bcc07dfbea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5ebfba9-3809-4c03-bc4e-b34433a183a2}" ma:internalName="TaxCatchAll" ma:showField="CatchAllData" ma:web="0cdd48d0-55e8-40d9-b005-bcc07dfbe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d23407e-4f88-4dab-bbdf-a3d2889f7354">
      <Terms xmlns="http://schemas.microsoft.com/office/infopath/2007/PartnerControls"/>
    </lcf76f155ced4ddcb4097134ff3c332f>
    <TaxCatchAll xmlns="0cdd48d0-55e8-40d9-b005-bcc07dfbea2f"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7FC7C0A-7BC0-410A-8C65-FE0657E55726}">
  <ds:schemaRefs>
    <ds:schemaRef ds:uri="http://schemas.microsoft.com/sharepoint/v3/contenttype/forms"/>
  </ds:schemaRefs>
</ds:datastoreItem>
</file>

<file path=customXml/itemProps2.xml><?xml version="1.0" encoding="utf-8"?>
<ds:datastoreItem xmlns:ds="http://schemas.openxmlformats.org/officeDocument/2006/customXml" ds:itemID="{90CD029D-E2FC-4E0A-BA26-C7B13E64A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d23407e-4f88-4dab-bbdf-a3d2889f7354"/>
    <ds:schemaRef ds:uri="0cdd48d0-55e8-40d9-b005-bcc07dfbe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4CA80C-8B77-49BA-8A8B-9ADA1B59B846}">
  <ds:schemaRefs>
    <ds:schemaRef ds:uri="http://schemas.microsoft.com/office/2006/metadata/properties"/>
    <ds:schemaRef ds:uri="http://schemas.microsoft.com/office/infopath/2007/PartnerControls"/>
    <ds:schemaRef ds:uri="http://schemas.microsoft.com/sharepoint/v3"/>
    <ds:schemaRef ds:uri="dd23407e-4f88-4dab-bbdf-a3d2889f7354"/>
    <ds:schemaRef ds:uri="0cdd48d0-55e8-40d9-b005-bcc07dfbea2f"/>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503</Words>
  <Characters>2911</Characters>
  <Application>Microsoft Office Word</Application>
  <DocSecurity>0</DocSecurity>
  <Lines>72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Schoborg, Alex</cp:lastModifiedBy>
  <cp:revision>9</cp:revision>
  <dcterms:created xsi:type="dcterms:W3CDTF">2026-04-16T14:27:00Z</dcterms:created>
  <dcterms:modified xsi:type="dcterms:W3CDTF">2026-04-27T14:06:00Z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0x010100770F6462E48F2D4BBEBE1744B8052669</vt:lpwstr>
  </property>
  <property fmtid="{D5CDD505-2E9C-101B-9397-08002B2CF9AE}" pid="3" name="MediaServiceImageTags">
    <vt:lpwstr/>
  </property>
  <property fmtid="{D5CDD505-2E9C-101B-9397-08002B2CF9AE}" pid="4" name="docLang">
    <vt:lpwstr>en</vt:lpwstr>
  </property>
</Properties>
</file>