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56"/>
          <w:szCs w:val="56"/>
        </w:rPr>
        <w:t xml:space="preserve">Cloud Platform Standard</w:t>
      </w:r>
    </w:p>
    <w:p>
      <w:pPr>
        <w:spacing w:after="0" w:before="120"/>
        <w:jc w:val="center"/>
      </w:pPr>
      <w:r>
        <w:rPr>
          <w:b/>
          <w:bCs/>
          <w:color w:val="2E75B6"/>
          <w:sz w:val="44"/>
          <w:szCs w:val="44"/>
        </w:rPr>
        <w:t xml:space="preserve">API Gateway</w:t>
      </w:r>
    </w:p>
    <w:p>
      <w:pPr>
        <w:pBdr>
          <w:bottom w:val="single" w:color="2E75B6" w:sz="6" w:space="6"/>
        </w:pBdr>
        <w:spacing w:after="0" w:before="240"/>
        <w:jc w:val="center"/>
      </w:pPr>
      <w:r>
        <w:rPr>
          <w:i/>
          <w:iCs/>
          <w:color w:val="595959"/>
          <w:sz w:val="24"/>
          <w:szCs w:val="24"/>
        </w:rPr>
        <w:t xml:space="preserve">Provisioning, Security &amp; Operation of API Gateway Platforms</w:t>
      </w:r>
    </w:p>
    <w:p>
      <w:pPr>
        <w:spacing w:after="120" w:before="600"/>
      </w:pPr>
      <w:r>
        <w:rPr>
          <w:b/>
          <w:bCs/>
          <w:color w:val="1F4E79"/>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line="252"/>
            </w:pPr>
            <w:r>
              <w:rPr>
                <w:b/>
                <w:bCs/>
                <w:color w:val="FFFFFF"/>
                <w:sz w:val="20"/>
                <w:szCs w:val="20"/>
              </w:rPr>
              <w:t xml:space="preserve">Author / Maintainer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line="252"/>
            </w:pPr>
            <w:r>
              <w:rPr>
                <w:b/>
                <w:bCs/>
                <w:color w:val="FFFFFF"/>
                <w:sz w:val="20"/>
                <w:szCs w:val="20"/>
              </w:rPr>
              <w:t xml:space="preserve">Date of Change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line="252"/>
            </w:pPr>
            <w:r>
              <w:rPr>
                <w:b/>
                <w:bCs/>
                <w:color w:val="FFFFFF"/>
                <w:sz w:val="20"/>
                <w:szCs w:val="20"/>
              </w:rPr>
              <w:t xml:space="preserve">Reason for Change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Alex Schoborg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04/27/26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Initial draft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
            </w:r>
          </w:p>
        </w:tc>
      </w:tr>
    </w:tbl>
    <w:p>
      <w:r>
        <w:br w:type="page"/>
      </w:r>
    </w:p>
    <w:p>
      <w:pPr>
        <w:spacing w:after="200"/>
      </w:pPr>
      <w:r>
        <w:rPr>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Background</w:t>
      </w:r>
    </w:p>
    <w:p>
      <w:pPr>
        <w:spacing w:after="120" w:before="0" w:line="276"/>
      </w:pPr>
      <w:r>
        <w:t xml:space="preserve">KFB exposes business capabilities — including the real-time insurance verification services that support Guidewire and third-party consumers — through AWS API Gateway fronting AWS Lambda functions. These gateways are provisioned through a shared, reusable Terraform module (kfbmic/tf-module-api-gateway) and deployed from environment-specific infrastructure repositories, while the backing Lambda code is built and deployed from separate source repositories.</w:t>
      </w:r>
    </w:p>
    <w:p>
      <w:pPr>
        <w:spacing w:after="120" w:before="0" w:line="276"/>
      </w:pPr>
      <w:r>
        <w:t xml:space="preserve">As this pattern has expanded across REST and SOAP workloads and across multiple security postures (JWT-authenticated and mutual-TLS), the organization requires a consistent, enforceable baseline. Without a standard, individual teams may diverge on authentication, network exposure, encryption, observability, and change-control practices, increasing security risk and operational cost.</w:t>
      </w:r>
    </w:p>
    <w:p>
      <w:pPr>
        <w:spacing w:after="120" w:before="0" w:line="276"/>
      </w:pPr>
      <w:r>
        <w:t xml:space="preserve">This standard exists to support consistent, secure, and scalable API gateway capabilities across the organization. It aligns with Cloud Platform Engineering's responsibility for defining architectural standards and reusable patterns, and it codifies the requirements already reflected in the enterprise API Gateway Governance and the API Gateway Provisioning and Deployment runbook so that every gateway is delivered to the same baseline.</w:t>
      </w:r>
    </w:p>
    <w:p>
      <w:pPr>
        <w:pStyle w:val="Heading1"/>
      </w:pPr>
      <w:r>
        <w:t xml:space="preserve">2. Purpose and Scope</w:t>
      </w:r>
    </w:p>
    <w:p>
      <w:pPr>
        <w:pStyle w:val="Heading2"/>
      </w:pPr>
      <w:r>
        <w:t xml:space="preserve">2.1 Purpose</w:t>
      </w:r>
    </w:p>
    <w:p>
      <w:pPr>
        <w:spacing w:after="120" w:before="0" w:line="276"/>
      </w:pPr>
      <w:r>
        <w:t xml:space="preserve">The purpose of this standard is to define consistent, enforceable requirements for the design, provisioning, security, exposure, operation, and governance of AWS API Gateway platforms at KFB. The intent is to enable cloud-first API solutions that are secure, resilient, and operationally sustainable, while preserving clear ownership boundaries between platform engineering, governance, and operations.</w:t>
      </w:r>
    </w:p>
    <w:p>
      <w:pPr>
        <w:spacing w:after="120" w:before="0" w:line="276"/>
      </w:pPr>
      <w:r>
        <w:t xml:space="preserve">Specifically, this standard ensures that every API gateway:</w:t>
      </w:r>
    </w:p>
    <w:p>
      <w:pPr>
        <w:pStyle w:val="ListParagraph"/>
        <w:numPr>
          <w:ilvl w:val="0"/>
          <w:numId w:val="2"/>
        </w:numPr>
        <w:spacing w:after="80" w:line="276"/>
      </w:pPr>
      <w:r>
        <w:t xml:space="preserve">Is provisioned exclusively through approved Infrastructure as Code and reusable modules.</w:t>
      </w:r>
    </w:p>
    <w:p>
      <w:pPr>
        <w:pStyle w:val="ListParagraph"/>
        <w:numPr>
          <w:ilvl w:val="0"/>
          <w:numId w:val="2"/>
        </w:numPr>
        <w:spacing w:after="80" w:line="276"/>
      </w:pPr>
      <w:r>
        <w:t xml:space="preserve">Enforces an enterprise-approved security posture appropriate to its consumer (Entra JWT authorization, or mutual TLS), combined with an IP allowlist.</w:t>
      </w:r>
    </w:p>
    <w:p>
      <w:pPr>
        <w:pStyle w:val="ListParagraph"/>
        <w:numPr>
          <w:ilvl w:val="0"/>
          <w:numId w:val="2"/>
        </w:numPr>
        <w:spacing w:after="80" w:line="276"/>
      </w:pPr>
      <w:r>
        <w:t xml:space="preserve">Restricts network exposure to defined, reviewed boundaries.</w:t>
      </w:r>
    </w:p>
    <w:p>
      <w:pPr>
        <w:pStyle w:val="ListParagraph"/>
        <w:numPr>
          <w:ilvl w:val="0"/>
          <w:numId w:val="2"/>
        </w:numPr>
        <w:spacing w:after="80" w:line="276"/>
      </w:pPr>
      <w:r>
        <w:t xml:space="preserve">Is observable, attributable to a cost and support owner, and auditable.</w:t>
      </w:r>
    </w:p>
    <w:p>
      <w:pPr>
        <w:pStyle w:val="Heading2"/>
      </w:pPr>
      <w:r>
        <w:t xml:space="preserve">2.2 Scope</w:t>
      </w:r>
    </w:p>
    <w:p>
      <w:pPr>
        <w:spacing w:after="120" w:before="0" w:line="276"/>
      </w:pPr>
      <w:r>
        <w:t xml:space="preserve">This standard applies to:</w:t>
      </w:r>
    </w:p>
    <w:p>
      <w:pPr>
        <w:pStyle w:val="ListParagraph"/>
        <w:numPr>
          <w:ilvl w:val="0"/>
          <w:numId w:val="2"/>
        </w:numPr>
        <w:spacing w:after="80" w:line="276"/>
      </w:pPr>
      <w:r>
        <w:t xml:space="preserve">All AWS API Gateway (REST) deployments that front one or more Lambda functions, regardless of API style (REST/JSON or SOAP/XML).</w:t>
      </w:r>
    </w:p>
    <w:p>
      <w:pPr>
        <w:pStyle w:val="ListParagraph"/>
        <w:numPr>
          <w:ilvl w:val="0"/>
          <w:numId w:val="2"/>
        </w:numPr>
        <w:spacing w:after="80" w:line="276"/>
      </w:pPr>
      <w:r>
        <w:t xml:space="preserve">All environments (for example dev, qa, uat, perf, prod).</w:t>
      </w:r>
    </w:p>
    <w:p>
      <w:pPr>
        <w:pStyle w:val="ListParagraph"/>
        <w:numPr>
          <w:ilvl w:val="0"/>
          <w:numId w:val="2"/>
        </w:numPr>
        <w:spacing w:after="80" w:line="276"/>
      </w:pPr>
      <w:r>
        <w:t xml:space="preserve">Both supported security postures: TLS (Entra JWT authorizer + IP allowlist) and mTLS (custom domain + mutual TLS + IP allowlist).</w:t>
      </w:r>
    </w:p>
    <w:p>
      <w:pPr>
        <w:pStyle w:val="ListParagraph"/>
        <w:numPr>
          <w:ilvl w:val="0"/>
          <w:numId w:val="2"/>
        </w:numPr>
        <w:spacing w:after="80" w:line="276"/>
      </w:pPr>
      <w:r>
        <w:t xml:space="preserve">Infrastructure repositories that provision gateways and the source repositories that deploy the backing Lambda code and trigger stage redeploys.</w:t>
      </w:r>
    </w:p>
    <w:p>
      <w:pPr>
        <w:pStyle w:val="ListParagraph"/>
        <w:numPr>
          <w:ilvl w:val="0"/>
          <w:numId w:val="2"/>
        </w:numPr>
        <w:spacing w:after="80" w:line="276"/>
      </w:pPr>
      <w:r>
        <w:t xml:space="preserve">Teams designing, deploying, or operating these API gateway workloads.</w:t>
      </w:r>
    </w:p>
    <w:p>
      <w:pPr>
        <w:spacing w:after="120" w:before="0" w:line="276"/>
      </w:pPr>
      <w:r>
        <w:t xml:space="preserve">This standard does not apply to:</w:t>
      </w:r>
    </w:p>
    <w:p>
      <w:pPr>
        <w:pStyle w:val="ListParagraph"/>
        <w:numPr>
          <w:ilvl w:val="0"/>
          <w:numId w:val="2"/>
        </w:numPr>
        <w:spacing w:after="80" w:line="276"/>
      </w:pPr>
      <w:r>
        <w:t xml:space="preserve">Internal service-to-service communication that does not transit an API Gateway.</w:t>
      </w:r>
    </w:p>
    <w:p>
      <w:pPr>
        <w:pStyle w:val="ListParagraph"/>
        <w:numPr>
          <w:ilvl w:val="0"/>
          <w:numId w:val="2"/>
        </w:numPr>
        <w:spacing w:after="80" w:line="276"/>
      </w:pPr>
      <w:r>
        <w:t xml:space="preserve">The authoring or rotation of the Entra application registration, or the generation of client certificates for mTLS, which are governed by the relevant identity and PKI processes.</w:t>
      </w:r>
    </w:p>
    <w:p>
      <w:pPr>
        <w:pStyle w:val="ListParagraph"/>
        <w:numPr>
          <w:ilvl w:val="0"/>
          <w:numId w:val="2"/>
        </w:numPr>
        <w:spacing w:after="80" w:line="276"/>
      </w:pPr>
      <w:r>
        <w:t xml:space="preserve">Core AWS networking (VPCs, subnets, routing, NAT) and IAM outside the boundaries of the shared modules.</w:t>
      </w:r>
    </w:p>
    <w:p>
      <w:pPr>
        <w:pStyle w:val="ListParagraph"/>
        <w:numPr>
          <w:ilvl w:val="0"/>
          <w:numId w:val="2"/>
        </w:numPr>
        <w:spacing w:after="80" w:line="276"/>
      </w:pPr>
      <w:r>
        <w:t xml:space="preserve">Maintenance or modification of the reusable modules themselves, including any future work to combine JWT and mTLS on a single API.</w:t>
      </w:r>
    </w:p>
    <w:p>
      <w:pPr>
        <w:pStyle w:val="Heading1"/>
      </w:pPr>
      <w:r>
        <w:t xml:space="preserve">3. Standard Definition</w:t>
      </w:r>
    </w:p>
    <w:p>
      <w:pPr>
        <w:spacing w:after="120" w:before="0" w:line="276"/>
      </w:pPr>
      <w:r>
        <w:t xml:space="preserve">This section defines mandatory requirements. The following requirement keywords are used throughout:</w:t>
      </w:r>
    </w:p>
    <w:p>
      <w:pPr>
        <w:pStyle w:val="ListParagraph"/>
        <w:numPr>
          <w:ilvl w:val="0"/>
          <w:numId w:val="2"/>
        </w:numPr>
        <w:spacing w:after="80" w:line="276"/>
      </w:pPr>
      <w:r>
        <w:rPr>
          <w:b/>
          <w:bCs/>
          <w:color w:val="1F4E79"/>
        </w:rPr>
        <w:t xml:space="preserve">MUST </w:t>
      </w:r>
      <w:r>
        <w:t xml:space="preserve">— Required.</w:t>
      </w:r>
    </w:p>
    <w:p>
      <w:pPr>
        <w:pStyle w:val="ListParagraph"/>
        <w:numPr>
          <w:ilvl w:val="0"/>
          <w:numId w:val="2"/>
        </w:numPr>
        <w:spacing w:after="80" w:line="276"/>
      </w:pPr>
      <w:r>
        <w:rPr>
          <w:b/>
          <w:bCs/>
          <w:color w:val="1F4E79"/>
        </w:rPr>
        <w:t xml:space="preserve">MUST NOT </w:t>
      </w:r>
      <w:r>
        <w:t xml:space="preserve">— Prohibited.</w:t>
      </w:r>
    </w:p>
    <w:p>
      <w:pPr>
        <w:pStyle w:val="ListParagraph"/>
        <w:numPr>
          <w:ilvl w:val="0"/>
          <w:numId w:val="2"/>
        </w:numPr>
        <w:spacing w:after="80" w:line="276"/>
      </w:pPr>
      <w:r>
        <w:rPr>
          <w:b/>
          <w:bCs/>
          <w:color w:val="1F4E79"/>
        </w:rPr>
        <w:t xml:space="preserve">SHOULD </w:t>
      </w:r>
      <w:r>
        <w:t xml:space="preserve">— Recommended.</w:t>
      </w:r>
    </w:p>
    <w:p>
      <w:pPr>
        <w:pStyle w:val="ListParagraph"/>
        <w:numPr>
          <w:ilvl w:val="0"/>
          <w:numId w:val="2"/>
        </w:numPr>
        <w:spacing w:after="80" w:line="276"/>
      </w:pPr>
      <w:r>
        <w:rPr>
          <w:b/>
          <w:bCs/>
          <w:color w:val="1F4E79"/>
        </w:rPr>
        <w:t xml:space="preserve">MAY </w:t>
      </w:r>
      <w:r>
        <w:t xml:space="preserve">— Optional.</w:t>
      </w:r>
    </w:p>
    <w:p>
      <w:pPr>
        <w:pStyle w:val="Heading2"/>
      </w:pPr>
      <w:r>
        <w:t xml:space="preserve">3.1 Architecture and Design Requirements</w:t>
      </w:r>
    </w:p>
    <w:p>
      <w:pPr>
        <w:pStyle w:val="ListParagraph"/>
        <w:numPr>
          <w:ilvl w:val="0"/>
          <w:numId w:val="2"/>
        </w:numPr>
        <w:spacing w:after="80" w:line="276"/>
      </w:pPr>
      <w:r>
        <w:rPr>
          <w:b/>
          <w:bCs/>
          <w:color w:val="1F4E79"/>
        </w:rPr>
        <w:t xml:space="preserve">MUST </w:t>
      </w:r>
      <w:r>
        <w:t xml:space="preserve">API gateways MUST be provisioned through the approved reusable module kfbmic/tf-module-api-gateway, pinned to an explicit version reference (for example ?ref=v1.1.1). Floating or unpinned module references MUST NOT be used.</w:t>
      </w:r>
    </w:p>
    <w:p>
      <w:pPr>
        <w:pStyle w:val="ListParagraph"/>
        <w:numPr>
          <w:ilvl w:val="0"/>
          <w:numId w:val="2"/>
        </w:numPr>
        <w:spacing w:after="80" w:line="276"/>
      </w:pPr>
      <w:r>
        <w:rPr>
          <w:b/>
          <w:bCs/>
          <w:color w:val="1F4E79"/>
        </w:rPr>
        <w:t xml:space="preserve">MUST </w:t>
      </w:r>
      <w:r>
        <w:t xml:space="preserve">Each route MUST be defined explicitly as a path, HTTP method, and target Lambda ARN, and MUST integrate with Lambda using the AWS_PROXY integration type.</w:t>
      </w:r>
    </w:p>
    <w:p>
      <w:pPr>
        <w:pStyle w:val="ListParagraph"/>
        <w:numPr>
          <w:ilvl w:val="0"/>
          <w:numId w:val="2"/>
        </w:numPr>
        <w:spacing w:after="80" w:line="276"/>
      </w:pPr>
      <w:r>
        <w:rPr>
          <w:b/>
          <w:bCs/>
          <w:color w:val="1F4E79"/>
        </w:rPr>
        <w:t xml:space="preserve">MUST </w:t>
      </w:r>
      <w:r>
        <w:t xml:space="preserve">Resource naming MUST follow the standard pattern ${application_name}-${env_tier}-&lt;suffix&gt; so that the application, environment, and API role are identifiable from the resource name.</w:t>
      </w:r>
    </w:p>
    <w:p>
      <w:pPr>
        <w:pStyle w:val="ListParagraph"/>
        <w:numPr>
          <w:ilvl w:val="0"/>
          <w:numId w:val="2"/>
        </w:numPr>
        <w:spacing w:after="80" w:line="276"/>
      </w:pPr>
      <w:r>
        <w:rPr>
          <w:b/>
          <w:bCs/>
          <w:color w:val="1F4E79"/>
        </w:rPr>
        <w:t xml:space="preserve">SHOULD </w:t>
      </w:r>
      <w:r>
        <w:t xml:space="preserve">Systems SHOULD reuse the patterns and supporting modules provided by Cloud Platform Engineering (the Lambda module, the security-group module, and the API Gateway module) rather than authoring bespoke gateway resources.</w:t>
      </w:r>
    </w:p>
    <w:p>
      <w:pPr>
        <w:pStyle w:val="ListParagraph"/>
        <w:numPr>
          <w:ilvl w:val="0"/>
          <w:numId w:val="2"/>
        </w:numPr>
        <w:spacing w:after="80" w:line="276"/>
      </w:pPr>
      <w:r>
        <w:rPr>
          <w:b/>
          <w:bCs/>
          <w:color w:val="1F4E79"/>
        </w:rPr>
        <w:t xml:space="preserve">SHOULD </w:t>
      </w:r>
      <w:r>
        <w:t xml:space="preserve">API definitions, routes, and versioning SHOULD be explicit and applied consistently to prevent breaking changes; version changes that alter routes, methods, the authorizer, or the resource policy SHOULD be planned with a stage redeploy.</w:t>
      </w:r>
    </w:p>
    <w:p>
      <w:pPr>
        <w:pStyle w:val="ListParagraph"/>
        <w:numPr>
          <w:ilvl w:val="0"/>
          <w:numId w:val="2"/>
        </w:numPr>
        <w:spacing w:after="80" w:line="276"/>
      </w:pPr>
      <w:r>
        <w:rPr>
          <w:b/>
          <w:bCs/>
          <w:color w:val="1F4E79"/>
        </w:rPr>
        <w:t xml:space="preserve">MAY </w:t>
      </w:r>
      <w:r>
        <w:t xml:space="preserve">Payload compression and other performance-optimized gateway configurations MAY be enabled where appropriate to the workload.</w:t>
      </w:r>
    </w:p>
    <w:p>
      <w:pPr>
        <w:pStyle w:val="Heading2"/>
      </w:pPr>
      <w:r>
        <w:t xml:space="preserve">3.2 Configuration and Deployment Requirements</w:t>
      </w:r>
    </w:p>
    <w:p>
      <w:pPr>
        <w:pStyle w:val="ListParagraph"/>
        <w:numPr>
          <w:ilvl w:val="0"/>
          <w:numId w:val="2"/>
        </w:numPr>
        <w:spacing w:after="80" w:line="276"/>
      </w:pPr>
      <w:r>
        <w:rPr>
          <w:b/>
          <w:bCs/>
          <w:color w:val="1F4E79"/>
        </w:rPr>
        <w:t xml:space="preserve">MUST </w:t>
      </w:r>
      <w:r>
        <w:t xml:space="preserve">All API gateway configuration MUST be managed as Infrastructure as Code in the infrastructure repository and deployed through the approved OpenTofu/Terraform pipeline (plan on pull request, apply on merge).</w:t>
      </w:r>
    </w:p>
    <w:p>
      <w:pPr>
        <w:pStyle w:val="ListParagraph"/>
        <w:numPr>
          <w:ilvl w:val="0"/>
          <w:numId w:val="2"/>
        </w:numPr>
        <w:spacing w:after="80" w:line="276"/>
      </w:pPr>
      <w:r>
        <w:rPr>
          <w:b/>
          <w:bCs/>
          <w:color w:val="1F4E79"/>
        </w:rPr>
        <w:t xml:space="preserve">MUST </w:t>
      </w:r>
      <w:r>
        <w:t xml:space="preserve">Backing Lambda code MUST be deployed from the designated source repository through its approved pipeline, separately from the gateway infrastructure.</w:t>
      </w:r>
    </w:p>
    <w:p>
      <w:pPr>
        <w:pStyle w:val="ListParagraph"/>
        <w:numPr>
          <w:ilvl w:val="0"/>
          <w:numId w:val="2"/>
        </w:numPr>
        <w:spacing w:after="80" w:line="276"/>
      </w:pPr>
      <w:r>
        <w:rPr>
          <w:b/>
          <w:bCs/>
          <w:color w:val="1F4E79"/>
        </w:rPr>
        <w:t xml:space="preserve">MUST </w:t>
      </w:r>
      <w:r>
        <w:t xml:space="preserve">When routes, methods, the authorizer, or the resource policy change, the API Gateway stage MUST be redeployed (for example via the source repository's apigw_redeploy mechanism, gated by config/environments.yml).</w:t>
      </w:r>
    </w:p>
    <w:p>
      <w:pPr>
        <w:pStyle w:val="ListParagraph"/>
        <w:numPr>
          <w:ilvl w:val="0"/>
          <w:numId w:val="2"/>
        </w:numPr>
        <w:spacing w:after="80" w:line="276"/>
      </w:pPr>
      <w:r>
        <w:rPr>
          <w:b/>
          <w:bCs/>
          <w:color w:val="1F4E79"/>
        </w:rPr>
        <w:t xml:space="preserve">MUST NOT </w:t>
      </w:r>
      <w:r>
        <w:t xml:space="preserve">Secrets, tokens, private keys, or database credentials MUST NOT be hard-coded in Terraform, application code, or environment variables. Database access MUST use short-lived credentials such as RDS IAM authentication tokens generated at runtime.</w:t>
      </w:r>
    </w:p>
    <w:p>
      <w:pPr>
        <w:pStyle w:val="ListParagraph"/>
        <w:numPr>
          <w:ilvl w:val="0"/>
          <w:numId w:val="2"/>
        </w:numPr>
        <w:spacing w:after="80" w:line="276"/>
      </w:pPr>
      <w:r>
        <w:rPr>
          <w:b/>
          <w:bCs/>
          <w:color w:val="1F4E79"/>
        </w:rPr>
        <w:t xml:space="preserve">SHOULD </w:t>
      </w:r>
      <w:r>
        <w:t xml:space="preserve">Environment-specific values (account IDs, audiences, domain names, allowlists) SHOULD be supplied through tfvars / environment configuration rather than embedded inline.</w:t>
      </w:r>
    </w:p>
    <w:p>
      <w:pPr>
        <w:pStyle w:val="Heading2"/>
      </w:pPr>
      <w:r>
        <w:t xml:space="preserve">3.3 Security and Access Control Requirements</w:t>
      </w:r>
    </w:p>
    <w:p>
      <w:pPr>
        <w:pStyle w:val="ListParagraph"/>
        <w:numPr>
          <w:ilvl w:val="0"/>
          <w:numId w:val="2"/>
        </w:numPr>
        <w:spacing w:after="80" w:line="276"/>
      </w:pPr>
      <w:r>
        <w:rPr>
          <w:b/>
          <w:bCs/>
          <w:color w:val="1F4E79"/>
        </w:rPr>
        <w:t xml:space="preserve">MUST </w:t>
      </w:r>
      <w:r>
        <w:t xml:space="preserve">Every API gateway MUST enforce an enterprise-approved security posture. In the current module this is binary and driven by the domain_name input:</w:t>
      </w:r>
    </w:p>
    <w:p>
      <w:pPr>
        <w:pStyle w:val="ListParagraph"/>
        <w:numPr>
          <w:ilvl w:val="1"/>
          <w:numId w:val="2"/>
        </w:numPr>
        <w:spacing w:after="80" w:line="276"/>
      </w:pPr>
      <w:r>
        <w:rPr>
          <w:b/>
          <w:bCs/>
          <w:color w:val="1F4E79"/>
        </w:rPr>
        <w:t xml:space="preserve">MUST </w:t>
      </w:r>
      <w:r>
        <w:t xml:space="preserve">Where domain_name is unset (TLS posture), every method MUST require the Entra JWT custom authorizer (authorization = CUSTOM), validating the configured audience against the enterprise-approved issuer.</w:t>
      </w:r>
    </w:p>
    <w:p>
      <w:pPr>
        <w:pStyle w:val="ListParagraph"/>
        <w:numPr>
          <w:ilvl w:val="1"/>
          <w:numId w:val="2"/>
        </w:numPr>
        <w:spacing w:after="80" w:line="276"/>
      </w:pPr>
      <w:r>
        <w:rPr>
          <w:b/>
          <w:bCs/>
          <w:color w:val="1F4E79"/>
        </w:rPr>
        <w:t xml:space="preserve">MUST </w:t>
      </w:r>
      <w:r>
        <w:t xml:space="preserve">Where domain_name is set (mTLS posture), the API MUST be protected by mutual TLS using a custom domain and a truststore-validated client certificate.</w:t>
      </w:r>
    </w:p>
    <w:p>
      <w:pPr>
        <w:pStyle w:val="ListParagraph"/>
        <w:numPr>
          <w:ilvl w:val="0"/>
          <w:numId w:val="2"/>
        </w:numPr>
        <w:spacing w:after="80" w:line="276"/>
      </w:pPr>
      <w:r>
        <w:rPr>
          <w:b/>
          <w:bCs/>
          <w:color w:val="1F4E79"/>
        </w:rPr>
        <w:t xml:space="preserve">MUST </w:t>
      </w:r>
      <w:r>
        <w:t xml:space="preserve">All API gateways, in either posture, MUST enforce an IP allowlist through the gateway resource policy; traffic from non-allowlisted source addresses MUST be denied.</w:t>
      </w:r>
    </w:p>
    <w:p>
      <w:pPr>
        <w:pStyle w:val="ListParagraph"/>
        <w:numPr>
          <w:ilvl w:val="0"/>
          <w:numId w:val="2"/>
        </w:numPr>
        <w:spacing w:after="80" w:line="276"/>
      </w:pPr>
      <w:r>
        <w:rPr>
          <w:b/>
          <w:bCs/>
          <w:color w:val="1F4E79"/>
        </w:rPr>
        <w:t xml:space="preserve">MUST </w:t>
      </w:r>
      <w:r>
        <w:t xml:space="preserve">All API traffic MUST be encrypted in transit using an enterprise-approved TLS policy (minimum TLS 1.2) on the gateway and any custom domain.</w:t>
      </w:r>
    </w:p>
    <w:p>
      <w:pPr>
        <w:pStyle w:val="ListParagraph"/>
        <w:numPr>
          <w:ilvl w:val="0"/>
          <w:numId w:val="2"/>
        </w:numPr>
        <w:spacing w:after="80" w:line="276"/>
      </w:pPr>
      <w:r>
        <w:rPr>
          <w:b/>
          <w:bCs/>
          <w:color w:val="1F4E79"/>
        </w:rPr>
        <w:t xml:space="preserve">MUST NOT </w:t>
      </w:r>
      <w:r>
        <w:t xml:space="preserve">Placeholder, example, or test IP addresses MUST NOT remain in a production allowlist; allowlists MUST contain only validated consumer addresses before the API is exposed.</w:t>
      </w:r>
    </w:p>
    <w:p>
      <w:pPr>
        <w:pStyle w:val="ListParagraph"/>
        <w:numPr>
          <w:ilvl w:val="0"/>
          <w:numId w:val="2"/>
        </w:numPr>
        <w:spacing w:after="80" w:line="276"/>
      </w:pPr>
      <w:r>
        <w:rPr>
          <w:b/>
          <w:bCs/>
          <w:color w:val="1F4E79"/>
        </w:rPr>
        <w:t xml:space="preserve">MUST </w:t>
      </w:r>
      <w:r>
        <w:t xml:space="preserve">Sensitive data exposed through an API MUST comply with enterprise data classification and protection policies, and MUST NOT be returned without appropriate controls.</w:t>
      </w:r>
    </w:p>
    <w:p>
      <w:pPr>
        <w:pStyle w:val="ListParagraph"/>
        <w:numPr>
          <w:ilvl w:val="0"/>
          <w:numId w:val="2"/>
        </w:numPr>
        <w:spacing w:after="80" w:line="276"/>
      </w:pPr>
      <w:r>
        <w:rPr>
          <w:b/>
          <w:bCs/>
          <w:color w:val="1F4E79"/>
        </w:rPr>
        <w:t xml:space="preserve">SHOULD </w:t>
      </w:r>
      <w:r>
        <w:t xml:space="preserve">Authorizer and gateway configurations SHOULD log denial reasons (for example AUTHZ_DENY) without ever logging tokens, certificates, or other credentials.</w:t>
      </w:r>
    </w:p>
    <w:p>
      <w:pPr>
        <w:pStyle w:val="Heading2"/>
      </w:pPr>
      <w:r>
        <w:t xml:space="preserve">3.4 Identity and Access Management Requirements</w:t>
      </w:r>
    </w:p>
    <w:p>
      <w:pPr>
        <w:pStyle w:val="ListParagraph"/>
        <w:numPr>
          <w:ilvl w:val="0"/>
          <w:numId w:val="2"/>
        </w:numPr>
        <w:spacing w:after="80" w:line="276"/>
      </w:pPr>
      <w:r>
        <w:rPr>
          <w:b/>
          <w:bCs/>
          <w:color w:val="1F4E79"/>
        </w:rPr>
        <w:t xml:space="preserve">MUST </w:t>
      </w:r>
      <w:r>
        <w:t xml:space="preserve">Human and application identity for JWT-authenticated APIs MUST be governed through the enterprise centralized identity provider (Microsoft Entra), using the hardcoded enterprise issuer and an explicitly configured audience.</w:t>
      </w:r>
    </w:p>
    <w:p>
      <w:pPr>
        <w:pStyle w:val="ListParagraph"/>
        <w:numPr>
          <w:ilvl w:val="0"/>
          <w:numId w:val="2"/>
        </w:numPr>
        <w:spacing w:after="80" w:line="276"/>
      </w:pPr>
      <w:r>
        <w:rPr>
          <w:b/>
          <w:bCs/>
          <w:color w:val="1F4E79"/>
        </w:rPr>
        <w:t xml:space="preserve">MUST </w:t>
      </w:r>
      <w:r>
        <w:t xml:space="preserve">Machine-to-machine access MUST use approved service authentication patterns — an Entra-issued JWT for the TLS posture, or a client certificate signed by the configured truststore CA for the mTLS posture.</w:t>
      </w:r>
    </w:p>
    <w:p>
      <w:pPr>
        <w:pStyle w:val="ListParagraph"/>
        <w:numPr>
          <w:ilvl w:val="0"/>
          <w:numId w:val="2"/>
        </w:numPr>
        <w:spacing w:after="80" w:line="276"/>
      </w:pPr>
      <w:r>
        <w:rPr>
          <w:b/>
          <w:bCs/>
          <w:color w:val="1F4E79"/>
        </w:rPr>
        <w:t xml:space="preserve">MUST </w:t>
      </w:r>
      <w:r>
        <w:t xml:space="preserve">Least-privilege access MUST be enforced for all API consumers and operators. Lambda execution roles MUST grant only the permissions required (for example scoping rds-db:connect to the specific database user ARN).</w:t>
      </w:r>
    </w:p>
    <w:p>
      <w:pPr>
        <w:pStyle w:val="ListParagraph"/>
        <w:numPr>
          <w:ilvl w:val="0"/>
          <w:numId w:val="2"/>
        </w:numPr>
        <w:spacing w:after="80" w:line="276"/>
      </w:pPr>
      <w:r>
        <w:rPr>
          <w:b/>
          <w:bCs/>
          <w:color w:val="1F4E79"/>
        </w:rPr>
        <w:t xml:space="preserve">SHOULD </w:t>
      </w:r>
      <w:r>
        <w:t xml:space="preserve">Backend resource access (such as databases) SHOULD use IAM-based, federated, or otherwise short-lived authentication rather than static credentials.</w:t>
      </w:r>
    </w:p>
    <w:p>
      <w:pPr>
        <w:pStyle w:val="Heading2"/>
      </w:pPr>
      <w:r>
        <w:t xml:space="preserve">3.5 Network and Exposure Requirements</w:t>
      </w:r>
    </w:p>
    <w:p>
      <w:pPr>
        <w:pStyle w:val="ListParagraph"/>
        <w:numPr>
          <w:ilvl w:val="0"/>
          <w:numId w:val="2"/>
        </w:numPr>
        <w:spacing w:after="80" w:line="276"/>
      </w:pPr>
      <w:r>
        <w:rPr>
          <w:b/>
          <w:bCs/>
          <w:color w:val="1F4E79"/>
        </w:rPr>
        <w:t xml:space="preserve">MUST </w:t>
      </w:r>
      <w:r>
        <w:t xml:space="preserve">Internal-only APIs MUST NOT be publicly exposed beyond their intended consumers; exposure MUST be constrained by the IP allowlist and, where applicable, mutual TLS.</w:t>
      </w:r>
    </w:p>
    <w:p>
      <w:pPr>
        <w:pStyle w:val="ListParagraph"/>
        <w:numPr>
          <w:ilvl w:val="0"/>
          <w:numId w:val="2"/>
        </w:numPr>
        <w:spacing w:after="80" w:line="276"/>
      </w:pPr>
      <w:r>
        <w:rPr>
          <w:b/>
          <w:bCs/>
          <w:color w:val="1F4E79"/>
        </w:rPr>
        <w:t xml:space="preserve">MUST </w:t>
      </w:r>
      <w:r>
        <w:t xml:space="preserve">Lambda functions that access private resources (such as Aurora) MUST be deployed within approved VPC subnets and security groups.</w:t>
      </w:r>
    </w:p>
    <w:p>
      <w:pPr>
        <w:pStyle w:val="ListParagraph"/>
        <w:numPr>
          <w:ilvl w:val="0"/>
          <w:numId w:val="2"/>
        </w:numPr>
        <w:spacing w:after="80" w:line="276"/>
      </w:pPr>
      <w:r>
        <w:rPr>
          <w:b/>
          <w:bCs/>
          <w:color w:val="1F4E79"/>
        </w:rPr>
        <w:t xml:space="preserve">MUST </w:t>
      </w:r>
      <w:r>
        <w:t xml:space="preserve">Truststore and other supporting storage (for example the mTLS truststore S3 bucket) MUST block all public access and MUST have versioning enabled so that certificate bundles can be rolled forward or back cleanly.</w:t>
      </w:r>
    </w:p>
    <w:p>
      <w:pPr>
        <w:pStyle w:val="ListParagraph"/>
        <w:numPr>
          <w:ilvl w:val="0"/>
          <w:numId w:val="2"/>
        </w:numPr>
        <w:spacing w:after="80" w:line="276"/>
      </w:pPr>
      <w:r>
        <w:rPr>
          <w:b/>
          <w:bCs/>
          <w:color w:val="1F4E79"/>
        </w:rPr>
        <w:t xml:space="preserve">MUST </w:t>
      </w:r>
      <w:r>
        <w:t xml:space="preserve">External exposure of a new API or a new externally reachable domain MUST follow the enterprise ingress controls and architecture/security review process before production release.</w:t>
      </w:r>
    </w:p>
    <w:p>
      <w:pPr>
        <w:pStyle w:val="ListParagraph"/>
        <w:numPr>
          <w:ilvl w:val="0"/>
          <w:numId w:val="2"/>
        </w:numPr>
        <w:spacing w:after="80" w:line="276"/>
      </w:pPr>
      <w:r>
        <w:rPr>
          <w:b/>
          <w:bCs/>
          <w:color w:val="1F4E79"/>
        </w:rPr>
        <w:t xml:space="preserve">SHOULD </w:t>
      </w:r>
      <w:r>
        <w:t xml:space="preserve">DNS and certificate validation records SHOULD be managed in the designated network account through the approved cross-account provider, and certificates SHOULD use create_before_destroy to avoid validation downtime.</w:t>
      </w:r>
    </w:p>
    <w:p>
      <w:pPr>
        <w:pStyle w:val="Heading2"/>
      </w:pPr>
      <w:r>
        <w:t xml:space="preserve">3.6 Deployment and Change Governance Requirements</w:t>
      </w:r>
    </w:p>
    <w:p>
      <w:pPr>
        <w:pStyle w:val="ListParagraph"/>
        <w:numPr>
          <w:ilvl w:val="0"/>
          <w:numId w:val="2"/>
        </w:numPr>
        <w:spacing w:after="80" w:line="276"/>
      </w:pPr>
      <w:r>
        <w:rPr>
          <w:b/>
          <w:bCs/>
          <w:color w:val="1F4E79"/>
        </w:rPr>
        <w:t xml:space="preserve">MUST </w:t>
      </w:r>
      <w:r>
        <w:t xml:space="preserve">All production changes MUST pass through change management and approval, including pull-request review and the protections of the target GitHub Environment.</w:t>
      </w:r>
    </w:p>
    <w:p>
      <w:pPr>
        <w:pStyle w:val="ListParagraph"/>
        <w:numPr>
          <w:ilvl w:val="0"/>
          <w:numId w:val="2"/>
        </w:numPr>
        <w:spacing w:after="80" w:line="276"/>
      </w:pPr>
      <w:r>
        <w:rPr>
          <w:b/>
          <w:bCs/>
          <w:color w:val="1F4E79"/>
        </w:rPr>
        <w:t xml:space="preserve">MUST </w:t>
      </w:r>
      <w:r>
        <w:t xml:space="preserve">Unauthorized modifications to production APIs MUST be preventable and detectable; production state MUST be reconcilable to the Infrastructure as Code source of record.</w:t>
      </w:r>
    </w:p>
    <w:p>
      <w:pPr>
        <w:pStyle w:val="ListParagraph"/>
        <w:numPr>
          <w:ilvl w:val="0"/>
          <w:numId w:val="2"/>
        </w:numPr>
        <w:spacing w:after="80" w:line="276"/>
      </w:pPr>
      <w:r>
        <w:rPr>
          <w:b/>
          <w:bCs/>
          <w:color w:val="1F4E79"/>
        </w:rPr>
        <w:t xml:space="preserve">SHOULD </w:t>
      </w:r>
      <w:r>
        <w:t xml:space="preserve">Rollback SHOULD prefer roll-forward for custom-domain and certificate changes to avoid re-validation downtime; truststore rollbacks SHOULD use the previous S3 object version.</w:t>
      </w:r>
    </w:p>
    <w:p>
      <w:pPr>
        <w:pStyle w:val="Heading2"/>
      </w:pPr>
      <w:r>
        <w:t xml:space="preserve">3.7 Operational and Observability Requirements</w:t>
      </w:r>
    </w:p>
    <w:p>
      <w:pPr>
        <w:pStyle w:val="ListParagraph"/>
        <w:numPr>
          <w:ilvl w:val="0"/>
          <w:numId w:val="2"/>
        </w:numPr>
        <w:spacing w:after="80" w:line="276"/>
      </w:pPr>
      <w:r>
        <w:rPr>
          <w:b/>
          <w:bCs/>
          <w:color w:val="1F4E79"/>
        </w:rPr>
        <w:t xml:space="preserve">MUST </w:t>
      </w:r>
      <w:r>
        <w:t xml:space="preserve">Each API and its backing Lambdas MUST emit centralized logs (CloudWatch), and gateways MUST support metrics and tracing for operational visibility.</w:t>
      </w:r>
    </w:p>
    <w:p>
      <w:pPr>
        <w:pStyle w:val="ListParagraph"/>
        <w:numPr>
          <w:ilvl w:val="0"/>
          <w:numId w:val="2"/>
        </w:numPr>
        <w:spacing w:after="80" w:line="276"/>
      </w:pPr>
      <w:r>
        <w:rPr>
          <w:b/>
          <w:bCs/>
          <w:color w:val="1F4E79"/>
        </w:rPr>
        <w:t xml:space="preserve">MUST </w:t>
      </w:r>
      <w:r>
        <w:t xml:space="preserve">Monitoring MUST be capable of detecting failures, latency degradation, and traffic anomalies.</w:t>
      </w:r>
    </w:p>
    <w:p>
      <w:pPr>
        <w:pStyle w:val="ListParagraph"/>
        <w:numPr>
          <w:ilvl w:val="0"/>
          <w:numId w:val="2"/>
        </w:numPr>
        <w:spacing w:after="80" w:line="276"/>
      </w:pPr>
      <w:r>
        <w:rPr>
          <w:b/>
          <w:bCs/>
          <w:color w:val="1F4E79"/>
        </w:rPr>
        <w:t xml:space="preserve">MUST </w:t>
      </w:r>
      <w:r>
        <w:t xml:space="preserve">A clear support and operational owner MUST be defined for every API.</w:t>
      </w:r>
    </w:p>
    <w:p>
      <w:pPr>
        <w:pStyle w:val="ListParagraph"/>
        <w:numPr>
          <w:ilvl w:val="0"/>
          <w:numId w:val="2"/>
        </w:numPr>
        <w:spacing w:after="80" w:line="276"/>
      </w:pPr>
      <w:r>
        <w:rPr>
          <w:b/>
          <w:bCs/>
          <w:color w:val="1F4E79"/>
        </w:rPr>
        <w:t xml:space="preserve">SHOULD </w:t>
      </w:r>
      <w:r>
        <w:t xml:space="preserve">Operational verification (invoke tests for the relevant posture, certificate status checks, and log review) SHOULD be performed after each provisioning or deployment change.</w:t>
      </w:r>
    </w:p>
    <w:p>
      <w:pPr>
        <w:pStyle w:val="Heading2"/>
      </w:pPr>
      <w:r>
        <w:t xml:space="preserve">3.8 Data Protection and Resilience Requirements</w:t>
      </w:r>
    </w:p>
    <w:p>
      <w:pPr>
        <w:pStyle w:val="ListParagraph"/>
        <w:numPr>
          <w:ilvl w:val="0"/>
          <w:numId w:val="2"/>
        </w:numPr>
        <w:spacing w:after="80" w:line="276"/>
      </w:pPr>
      <w:r>
        <w:rPr>
          <w:b/>
          <w:bCs/>
          <w:color w:val="1F4E79"/>
        </w:rPr>
        <w:t xml:space="preserve">MUST </w:t>
      </w:r>
      <w:r>
        <w:t xml:space="preserve">APIs MUST NOT expose sensitive data without appropriate controls, consistent with Section 3.3.</w:t>
      </w:r>
    </w:p>
    <w:p>
      <w:pPr>
        <w:pStyle w:val="ListParagraph"/>
        <w:numPr>
          <w:ilvl w:val="0"/>
          <w:numId w:val="2"/>
        </w:numPr>
        <w:spacing w:after="80" w:line="276"/>
      </w:pPr>
      <w:r>
        <w:rPr>
          <w:b/>
          <w:bCs/>
          <w:color w:val="1F4E79"/>
        </w:rPr>
        <w:t xml:space="preserve">MUST </w:t>
      </w:r>
      <w:r>
        <w:t xml:space="preserve">API data platforms (such as the backing Aurora cluster) MUST support data durability and recovery, including backup retention and recovery capabilities.</w:t>
      </w:r>
    </w:p>
    <w:p>
      <w:pPr>
        <w:pStyle w:val="ListParagraph"/>
        <w:numPr>
          <w:ilvl w:val="0"/>
          <w:numId w:val="2"/>
        </w:numPr>
        <w:spacing w:after="80" w:line="276"/>
      </w:pPr>
      <w:r>
        <w:rPr>
          <w:b/>
          <w:bCs/>
          <w:color w:val="1F4E79"/>
        </w:rPr>
        <w:t xml:space="preserve">SHOULD </w:t>
      </w:r>
      <w:r>
        <w:t xml:space="preserve">Resilience mechanisms (for example sensible timeouts, read replicas, and serverless scaling bounds) SHOULD be implemented to prevent cascading failures.</w:t>
      </w:r>
    </w:p>
    <w:p>
      <w:pPr>
        <w:pStyle w:val="Heading2"/>
      </w:pPr>
      <w:r>
        <w:t xml:space="preserve">3.9 Financial Governance Requirements</w:t>
      </w:r>
    </w:p>
    <w:p>
      <w:pPr>
        <w:pStyle w:val="ListParagraph"/>
        <w:numPr>
          <w:ilvl w:val="0"/>
          <w:numId w:val="2"/>
        </w:numPr>
        <w:spacing w:after="80" w:line="276"/>
      </w:pPr>
      <w:r>
        <w:rPr>
          <w:b/>
          <w:bCs/>
          <w:color w:val="1F4E79"/>
        </w:rPr>
        <w:t xml:space="preserve">MUST </w:t>
      </w:r>
      <w:r>
        <w:t xml:space="preserve">Every API gateway and its supporting resources MUST be tagged with enterprise ownership and cost-allocation metadata (for example application_name, owned_by, requested_by, and business_ops_category).</w:t>
      </w:r>
    </w:p>
    <w:p>
      <w:pPr>
        <w:pStyle w:val="ListParagraph"/>
        <w:numPr>
          <w:ilvl w:val="0"/>
          <w:numId w:val="2"/>
        </w:numPr>
        <w:spacing w:after="80" w:line="276"/>
      </w:pPr>
      <w:r>
        <w:rPr>
          <w:b/>
          <w:bCs/>
          <w:color w:val="1F4E79"/>
        </w:rPr>
        <w:t xml:space="preserve">MUST </w:t>
      </w:r>
      <w:r>
        <w:t xml:space="preserve">API usage MUST be attributable to a defined cost owner.</w:t>
      </w:r>
    </w:p>
    <w:p>
      <w:pPr>
        <w:pStyle w:val="ListParagraph"/>
        <w:numPr>
          <w:ilvl w:val="0"/>
          <w:numId w:val="2"/>
        </w:numPr>
        <w:spacing w:after="80" w:line="276"/>
      </w:pPr>
      <w:r>
        <w:rPr>
          <w:b/>
          <w:bCs/>
          <w:color w:val="1F4E79"/>
        </w:rPr>
        <w:t xml:space="preserve">SHOULD </w:t>
      </w:r>
      <w:r>
        <w:t xml:space="preserve">Cost controls (such as scaling limits and usage monitoring) SHOULD be implemented to prevent excessive or abusive usage.</w:t>
      </w:r>
    </w:p>
    <w:p>
      <w:pPr>
        <w:pStyle w:val="Heading2"/>
      </w:pPr>
      <w:r>
        <w:t xml:space="preserve">3.10 Compliance and Audit Requirements</w:t>
      </w:r>
    </w:p>
    <w:p>
      <w:pPr>
        <w:pStyle w:val="ListParagraph"/>
        <w:numPr>
          <w:ilvl w:val="0"/>
          <w:numId w:val="2"/>
        </w:numPr>
        <w:spacing w:after="80" w:line="276"/>
      </w:pPr>
      <w:r>
        <w:rPr>
          <w:b/>
          <w:bCs/>
          <w:color w:val="1F4E79"/>
        </w:rPr>
        <w:t xml:space="preserve">MUST </w:t>
      </w:r>
      <w:r>
        <w:t xml:space="preserve">All API configuration and access changes MUST be auditable through version control history and AWS audit logging.</w:t>
      </w:r>
    </w:p>
    <w:p>
      <w:pPr>
        <w:pStyle w:val="ListParagraph"/>
        <w:numPr>
          <w:ilvl w:val="0"/>
          <w:numId w:val="2"/>
        </w:numPr>
        <w:spacing w:after="80" w:line="276"/>
      </w:pPr>
      <w:r>
        <w:rPr>
          <w:b/>
          <w:bCs/>
          <w:color w:val="1F4E79"/>
        </w:rPr>
        <w:t xml:space="preserve">MUST </w:t>
      </w:r>
      <w:r>
        <w:t xml:space="preserve">Every API MUST undergo security and architecture review prior to production release.</w:t>
      </w:r>
    </w:p>
    <w:p>
      <w:pPr>
        <w:pStyle w:val="ListParagraph"/>
        <w:numPr>
          <w:ilvl w:val="0"/>
          <w:numId w:val="2"/>
        </w:numPr>
        <w:spacing w:after="80" w:line="276"/>
      </w:pPr>
      <w:r>
        <w:rPr>
          <w:b/>
          <w:bCs/>
          <w:color w:val="1F4E79"/>
        </w:rPr>
        <w:t xml:space="preserve">SHOULD </w:t>
      </w:r>
      <w:r>
        <w:t xml:space="preserve">Periodic compliance reviews of deployed APIs SHOULD be conducted against this standard.</w:t>
      </w:r>
    </w:p>
    <w:p>
      <w:pPr>
        <w:pStyle w:val="Heading2"/>
      </w:pPr>
      <w:r>
        <w:t xml:space="preserve">3.11 Approved Security Posture Reference</w:t>
      </w:r>
    </w:p>
    <w:p>
      <w:pPr>
        <w:spacing w:after="120" w:before="0" w:line="276"/>
      </w:pPr>
      <w:r>
        <w:t xml:space="preserve">The two approved postures are determined by a single module input (domain_name). The current module supports JWT authorization OR mutual TLS on a given API, not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830"/>
        <w:gridCol w:w="183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line="252"/>
            </w:pPr>
            <w:r>
              <w:rPr>
                <w:b/>
                <w:bCs/>
                <w:color w:val="FFFFFF"/>
                <w:sz w:val="20"/>
                <w:szCs w:val="20"/>
              </w:rPr>
              <w:t xml:space="preserve">Posture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line="252"/>
            </w:pPr>
            <w:r>
              <w:rPr>
                <w:b/>
                <w:bCs/>
                <w:color w:val="FFFFFF"/>
                <w:sz w:val="20"/>
                <w:szCs w:val="20"/>
              </w:rPr>
              <w:t xml:space="preserve">domain_name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line="252"/>
            </w:pPr>
            <w:r>
              <w:rPr>
                <w:b/>
                <w:bCs/>
                <w:color w:val="FFFFFF"/>
                <w:sz w:val="20"/>
                <w:szCs w:val="20"/>
              </w:rPr>
              <w:t xml:space="preserve">Method Auth</w:t>
            </w:r>
          </w:p>
        </w:tc>
        <w:tc>
          <w:tcPr>
            <w:tcW w:type="dxa" w:w="18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line="252"/>
            </w:pPr>
            <w:r>
              <w:rPr>
                <w:b/>
                <w:bCs/>
                <w:color w:val="FFFFFF"/>
                <w:sz w:val="20"/>
                <w:szCs w:val="20"/>
              </w:rPr>
              <w:t xml:space="preserve">JWT Authorizer</w:t>
            </w:r>
          </w:p>
        </w:tc>
        <w:tc>
          <w:tcPr>
            <w:tcW w:type="dxa" w:w="18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line="252"/>
            </w:pPr>
            <w:r>
              <w:rPr>
                <w:b/>
                <w:bCs/>
                <w:color w:val="FFFFFF"/>
                <w:sz w:val="20"/>
                <w:szCs w:val="20"/>
              </w:rPr>
              <w:t xml:space="preserve">Mutual TLS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bCs/>
                <w:sz w:val="20"/>
                <w:szCs w:val="20"/>
              </w:rPr>
              <w:t xml:space="preserve">TLS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Unset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CUSTOM</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Yes</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No</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bCs/>
                <w:sz w:val="20"/>
                <w:szCs w:val="20"/>
              </w:rPr>
              <w:t xml:space="preserve">mTLS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Set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NONE</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No</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52"/>
            </w:pPr>
            <w:r>
              <w:rPr>
                <w:b w:val="false"/>
                <w:bCs w:val="false"/>
                <w:sz w:val="20"/>
                <w:szCs w:val="20"/>
              </w:rPr>
              <w:t xml:space="preserve">Yes</w:t>
            </w:r>
          </w:p>
        </w:tc>
      </w:tr>
    </w:tbl>
    <w:p>
      <w:pPr>
        <w:spacing w:after="120" w:before="120" w:line="276"/>
      </w:pPr>
      <w:r>
        <w:rPr>
          <w:i/>
          <w:iCs/>
          <w:sz w:val="20"/>
          <w:szCs w:val="20"/>
        </w:rPr>
        <w:t xml:space="preserve">In both postures the IP allowlist (resource policy) applies. An mTLS API's access control is therefore mutual TLS plus IP allowlist; a TLS API's access control is the Entra JWT authorizer plus IP allowlist.</w:t>
      </w:r>
    </w:p>
    <w:p>
      <w:pPr>
        <w:pStyle w:val="Heading1"/>
      </w:pPr>
      <w:r>
        <w:t xml:space="preserve">4. Rationale</w:t>
      </w:r>
    </w:p>
    <w:p>
      <w:pPr>
        <w:spacing w:after="120" w:before="0" w:line="276"/>
      </w:pPr>
      <w:r>
        <w:t xml:space="preserve">These requirements exist to translate the enterprise API Gateway Governance into concrete, enforceable engineering practice for the AWS API Gateway + Lambda pattern KFB operates.</w:t>
      </w:r>
    </w:p>
    <w:p>
      <w:pPr>
        <w:pStyle w:val="ListParagraph"/>
        <w:numPr>
          <w:ilvl w:val="0"/>
          <w:numId w:val="2"/>
        </w:numPr>
        <w:spacing w:after="80" w:line="276"/>
      </w:pPr>
      <w:r>
        <w:t xml:space="preserve">Reusable module and IaC-only deployment: Centralizing gateway construction in a versioned module produces consistent design patterns, centralizes the security controls (authorizer, IP allowlist, resource policy, mTLS) in one reviewed place, and makes drift detectable against a single source of truth. Pinned versions prevent silent behavioral changes.</w:t>
      </w:r>
    </w:p>
    <w:p>
      <w:pPr>
        <w:pStyle w:val="ListParagraph"/>
        <w:numPr>
          <w:ilvl w:val="0"/>
          <w:numId w:val="2"/>
        </w:numPr>
        <w:spacing w:after="80" w:line="276"/>
      </w:pPr>
      <w:r>
        <w:t xml:space="preserve">Binary posture model: The current module deliberately supports either Entra JWT authorization or mutual TLS, because the two consumer types (internal/Entra-capable callers versus external partners presenting client certificates) have different identity models. Documenting this as a constraint prevents teams from assuming a combined posture is available. Combining JWT and mTLS would be a module change and is intentionally out of scope.</w:t>
      </w:r>
    </w:p>
    <w:p>
      <w:pPr>
        <w:pStyle w:val="ListParagraph"/>
        <w:numPr>
          <w:ilvl w:val="0"/>
          <w:numId w:val="2"/>
        </w:numPr>
        <w:spacing w:after="80" w:line="276"/>
      </w:pPr>
      <w:r>
        <w:t xml:space="preserve">Defense in depth: Pairing the IP allowlist with either JWT or mTLS means a single failure (a leaked token, a misconfigured client) does not by itself grant access. This is why the allowlist is mandatory in both postures and why placeholder IPs are explicitly prohibited in production.</w:t>
      </w:r>
    </w:p>
    <w:p>
      <w:pPr>
        <w:pStyle w:val="ListParagraph"/>
        <w:numPr>
          <w:ilvl w:val="0"/>
          <w:numId w:val="2"/>
        </w:numPr>
        <w:spacing w:after="80" w:line="276"/>
      </w:pPr>
      <w:r>
        <w:t xml:space="preserve">Short-lived credentials over secrets: Using RDS IAM tokens and Entra-issued JWTs rather than static secrets removes a large class of credential-leak risk and satisfies the governance prohibition on hard-coded secrets.</w:t>
      </w:r>
    </w:p>
    <w:p>
      <w:pPr>
        <w:pStyle w:val="ListParagraph"/>
        <w:numPr>
          <w:ilvl w:val="0"/>
          <w:numId w:val="2"/>
        </w:numPr>
        <w:spacing w:after="80" w:line="276"/>
      </w:pPr>
      <w:r>
        <w:t xml:space="preserve">Separation of infra and code pipelines: Provisioning the gateway from the infrastructure repository and deploying Lambda code from the source repository keeps change-control boundaries clear and lets routine code changes proceed without re-provisioning the gateway, while still requiring a stage redeploy when routing or security configuration changes.</w:t>
      </w:r>
    </w:p>
    <w:p>
      <w:pPr>
        <w:pStyle w:val="ListParagraph"/>
        <w:numPr>
          <w:ilvl w:val="0"/>
          <w:numId w:val="2"/>
        </w:numPr>
        <w:spacing w:after="80" w:line="276"/>
      </w:pPr>
      <w:r>
        <w:t xml:space="preserve">Tagging, observability, and review: Mandatory ownership/cost tags, centralized logging, and pre-production review operationalize the governance requirements for financial accountability, operations, and audit.</w:t>
      </w:r>
    </w:p>
    <w:p>
      <w:pPr>
        <w:spacing w:after="120" w:before="120" w:line="276"/>
      </w:pPr>
      <w:r>
        <w:rPr>
          <w:i/>
          <w:iCs/>
        </w:rPr>
        <w:t xml:space="preserve">Alternatives considered: a single mandatory posture for all APIs was rejected because it cannot serve both Entra-authenticated internal consumers and certificate-based external partners; allowing ad-hoc, non-module gateway definitions was rejected because it defeats centralized control and auditability.</w:t>
      </w:r>
    </w:p>
    <w:p>
      <w:pPr>
        <w:pStyle w:val="Heading1"/>
      </w:pPr>
      <w:r>
        <w:t xml:space="preserve">5. Compliance and Enforcement</w:t>
      </w:r>
    </w:p>
    <w:p>
      <w:pPr>
        <w:spacing w:after="120" w:before="0" w:line="276"/>
      </w:pPr>
      <w:r>
        <w:t xml:space="preserve">Compliance with this standard may be validated through a combination of automated and manual controls, including:</w:t>
      </w:r>
    </w:p>
    <w:p>
      <w:pPr>
        <w:pStyle w:val="ListParagraph"/>
        <w:numPr>
          <w:ilvl w:val="0"/>
          <w:numId w:val="2"/>
        </w:numPr>
        <w:spacing w:after="80" w:line="276"/>
      </w:pPr>
      <w:r>
        <w:t xml:space="preserve">Infrastructure-as-Code review on every pull request, with apply gated behind merge and GitHub Environment protections.</w:t>
      </w:r>
    </w:p>
    <w:p>
      <w:pPr>
        <w:pStyle w:val="ListParagraph"/>
        <w:numPr>
          <w:ilvl w:val="0"/>
          <w:numId w:val="2"/>
        </w:numPr>
        <w:spacing w:after="80" w:line="276"/>
      </w:pPr>
      <w:r>
        <w:t xml:space="preserve">Automated plan inspection to confirm the expected posture (authorizer and CUSTOM auth for TLS lanes; ACM certificate, custom domain, mutual TLS, and NONE auth for mTLS lanes).</w:t>
      </w:r>
    </w:p>
    <w:p>
      <w:pPr>
        <w:pStyle w:val="ListParagraph"/>
        <w:numPr>
          <w:ilvl w:val="0"/>
          <w:numId w:val="2"/>
        </w:numPr>
        <w:spacing w:after="80" w:line="276"/>
      </w:pPr>
      <w:r>
        <w:t xml:space="preserve">Platform guardrails such as required tags, public-access blocks on supporting buckets, and pinned module versions.</w:t>
      </w:r>
    </w:p>
    <w:p>
      <w:pPr>
        <w:pStyle w:val="ListParagraph"/>
        <w:numPr>
          <w:ilvl w:val="0"/>
          <w:numId w:val="2"/>
        </w:numPr>
        <w:spacing w:after="80" w:line="276"/>
      </w:pPr>
      <w:r>
        <w:t xml:space="preserve">Periodic security and architecture review of deployed APIs.</w:t>
      </w:r>
    </w:p>
    <w:p>
      <w:pPr>
        <w:spacing w:after="120" w:before="0" w:line="276"/>
      </w:pPr>
      <w:r>
        <w:t xml:space="preserve">Non-compliance may require remediation within an agreed timeframe, or a formally approved exception as described in Section 6. APIs that do not meet the security posture, exposure, or tagging requirements MUST NOT be released to production.</w:t>
      </w:r>
    </w:p>
    <w:p>
      <w:pPr>
        <w:pStyle w:val="Heading1"/>
      </w:pPr>
      <w:r>
        <w:t xml:space="preserve">6. Exceptions and Deviations</w:t>
      </w:r>
    </w:p>
    <w:p>
      <w:pPr>
        <w:spacing w:after="120" w:before="0" w:line="276"/>
      </w:pPr>
      <w:r>
        <w:t xml:space="preserve">Any deviation from this standard requires a documented exception that includes:</w:t>
      </w:r>
    </w:p>
    <w:p>
      <w:pPr>
        <w:pStyle w:val="ListParagraph"/>
        <w:numPr>
          <w:ilvl w:val="0"/>
          <w:numId w:val="2"/>
        </w:numPr>
        <w:spacing w:after="80" w:line="276"/>
      </w:pPr>
      <w:r>
        <w:t xml:space="preserve">A clear justification and the business or technical driver.</w:t>
      </w:r>
    </w:p>
    <w:p>
      <w:pPr>
        <w:pStyle w:val="ListParagraph"/>
        <w:numPr>
          <w:ilvl w:val="0"/>
          <w:numId w:val="2"/>
        </w:numPr>
        <w:spacing w:after="80" w:line="276"/>
      </w:pPr>
      <w:r>
        <w:t xml:space="preserve">The specific requirement(s) being deviated from and the compensating controls in place.</w:t>
      </w:r>
    </w:p>
    <w:p>
      <w:pPr>
        <w:pStyle w:val="ListParagraph"/>
        <w:numPr>
          <w:ilvl w:val="0"/>
          <w:numId w:val="2"/>
        </w:numPr>
        <w:spacing w:after="80" w:line="276"/>
      </w:pPr>
      <w:r>
        <w:t xml:space="preserve">A defined scope and duration (exceptions are time-bound, not permanent).</w:t>
      </w:r>
    </w:p>
    <w:p>
      <w:pPr>
        <w:pStyle w:val="ListParagraph"/>
        <w:numPr>
          <w:ilvl w:val="0"/>
          <w:numId w:val="2"/>
        </w:numPr>
        <w:spacing w:after="80" w:line="276"/>
      </w:pPr>
      <w:r>
        <w:t xml:space="preserve">Approval by the appropriate authority (Cloud Platform Engineering and the relevant security/governance owner).</w:t>
      </w:r>
    </w:p>
    <w:p>
      <w:pPr>
        <w:spacing w:after="120" w:before="0" w:line="276"/>
      </w:pPr>
      <w:r>
        <w:t xml:space="preserve">Approved exceptions are recorded and reviewed periodically, and are revoked or renewed at review. Examples of changes that would require an exception include exposing an internal API publicly, deploying a gateway outside the approved module, or any future attempt to combine JWT and mutual TLS on a single API.</w:t>
      </w:r>
    </w:p>
    <w:p>
      <w:pPr>
        <w:pStyle w:val="Heading1"/>
      </w:pPr>
      <w:r>
        <w:t xml:space="preserve">7. References</w:t>
      </w:r>
    </w:p>
    <w:p>
      <w:pPr>
        <w:pStyle w:val="ListParagraph"/>
        <w:numPr>
          <w:ilvl w:val="0"/>
          <w:numId w:val="2"/>
        </w:numPr>
        <w:spacing w:after="80" w:line="276"/>
      </w:pPr>
      <w:r>
        <w:t xml:space="preserve">Enterprise API Gateway Governance.</w:t>
      </w:r>
    </w:p>
    <w:p>
      <w:pPr>
        <w:pStyle w:val="ListParagraph"/>
        <w:numPr>
          <w:ilvl w:val="0"/>
          <w:numId w:val="2"/>
        </w:numPr>
        <w:spacing w:after="80" w:line="276"/>
      </w:pPr>
      <w:r>
        <w:t xml:space="preserve">Runbook: API Gateway Provisioning and Deployment — REST &amp; SOAP, TLS &amp; mTLS.</w:t>
      </w:r>
    </w:p>
    <w:p>
      <w:pPr>
        <w:pStyle w:val="ListParagraph"/>
        <w:numPr>
          <w:ilvl w:val="0"/>
          <w:numId w:val="2"/>
        </w:numPr>
        <w:spacing w:after="80" w:line="276"/>
      </w:pPr>
      <w:r>
        <w:t xml:space="preserve">Lambda Build and Deployment runbook.</w:t>
      </w:r>
    </w:p>
    <w:p>
      <w:pPr>
        <w:pStyle w:val="ListParagraph"/>
        <w:numPr>
          <w:ilvl w:val="0"/>
          <w:numId w:val="2"/>
        </w:numPr>
        <w:spacing w:after="80" w:line="276"/>
      </w:pPr>
      <w:r>
        <w:t xml:space="preserve">Reusable module: kfbmic/tf-module-api-gateway (variables.tf, outputs.tf, main.tf, policy.tf, permissions.tf).</w:t>
      </w:r>
    </w:p>
    <w:p>
      <w:pPr>
        <w:pStyle w:val="ListParagraph"/>
        <w:numPr>
          <w:ilvl w:val="0"/>
          <w:numId w:val="2"/>
        </w:numPr>
        <w:spacing w:after="80" w:line="276"/>
      </w:pPr>
      <w:r>
        <w:t xml:space="preserve">Reusable module: kfbmic/tf-module-lambda-function.</w:t>
      </w:r>
    </w:p>
    <w:p>
      <w:pPr>
        <w:pStyle w:val="ListParagraph"/>
        <w:numPr>
          <w:ilvl w:val="0"/>
          <w:numId w:val="2"/>
        </w:numPr>
        <w:spacing w:after="80" w:line="276"/>
      </w:pPr>
      <w:r>
        <w:t xml:space="preserve">Reusable module: kfbmic/tf-module-vpc-security-group.</w:t>
      </w:r>
    </w:p>
    <w:p>
      <w:pPr>
        <w:pStyle w:val="ListParagraph"/>
        <w:numPr>
          <w:ilvl w:val="0"/>
          <w:numId w:val="2"/>
        </w:numPr>
        <w:spacing w:after="80" w:line="276"/>
      </w:pPr>
      <w:r>
        <w:t xml:space="preserve">Infrastructure repository: real-time-insurance-infra (rest_api.tf, soap_api.tf, soap_mtls.tf, aurora.tf, lambda.tf, main.tf, locals.tf, data.tf).</w:t>
      </w:r>
    </w:p>
    <w:p>
      <w:pPr>
        <w:pStyle w:val="ListParagraph"/>
        <w:numPr>
          <w:ilvl w:val="0"/>
          <w:numId w:val="2"/>
        </w:numPr>
        <w:spacing w:after="80" w:line="276"/>
      </w:pPr>
      <w:r>
        <w:t xml:space="preserve">Source repository: real-time-insurance-src (config/environments.yml, scripts/apigw_redeploy.sh).</w:t>
      </w:r>
    </w:p>
    <w:p>
      <w:pPr>
        <w:pStyle w:val="ListParagraph"/>
        <w:numPr>
          <w:ilvl w:val="0"/>
          <w:numId w:val="2"/>
        </w:numPr>
        <w:spacing w:after="80" w:line="276"/>
      </w:pPr>
      <w:r>
        <w:t xml:space="preserve">AWS API Gateway Developer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08080"/>
        <w:sz w:val="16"/>
        <w:szCs w:val="16"/>
      </w:rPr>
      <w:t xml:space="preserve">KFB — Confidential</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08080"/>
        <w:sz w:val="16"/>
        <w:szCs w:val="16"/>
      </w:rPr>
      <w:t xml:space="preserve">Cloud Platform Standard — API Gateway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Platform Standard - API Gateway</dc:title>
  <dc:creator>Cloud Platform Engineering</dc:creator>
  <cp:lastModifiedBy>Un-named</cp:lastModifiedBy>
  <cp:revision>1</cp:revision>
  <dcterms:created xsi:type="dcterms:W3CDTF">2026-06-08T22:15:15.742Z</dcterms:created>
  <dcterms:modified xsi:type="dcterms:W3CDTF">2026-06-08T22:15:15.742Z</dcterms:modified>
</cp:coreProperties>
</file>

<file path=docProps/custom.xml><?xml version="1.0" encoding="utf-8"?>
<Properties xmlns="http://schemas.openxmlformats.org/officeDocument/2006/custom-properties" xmlns:vt="http://schemas.openxmlformats.org/officeDocument/2006/docPropsVTypes"/>
</file>