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Findings: AWS Account to KFB Environment Mapping</w:t>
      </w:r>
    </w:p>
    <w:p>
      <w:pPr>
        <w:pBdr>
          <w:bottom w:val="single" w:color="2E5C8A" w:sz="12" w:space="8"/>
        </w:pBdr>
        <w:spacing w:after="240"/>
      </w:pPr>
      <w:r>
        <w:rPr>
          <w:rFonts w:ascii="Calibri" w:cs="Calibri" w:eastAsia="Calibri" w:hAnsi="Calibri"/>
          <w:i/>
          <w:iCs/>
          <w:color w:val="5A6C7D"/>
          <w:sz w:val="22"/>
          <w:szCs w:val="22"/>
        </w:rPr>
        <w:t xml:space="preserve">Evaluation of the existing AWS account estate against KFB environment naming</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1700"/>
        <w:gridCol w:w="7660"/>
      </w:tblGrid>
      <w:tr>
        <w:trPr>
          <w:tblHeader/>
        </w:trPr>
        <w:tc>
          <w:tcPr>
            <w:tcW w:type="dxa" w:w="17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Field</w:t>
            </w:r>
          </w:p>
        </w:tc>
        <w:tc>
          <w:tcPr>
            <w:tcW w:type="dxa" w:w="76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Value</w:t>
            </w:r>
          </w:p>
        </w:tc>
      </w:tr>
      <w:tr>
        <w:trPr>
          <w:cantSplit/>
        </w:trPr>
        <w:tc>
          <w:tcPr>
            <w:tcW w:type="dxa" w:w="1700"/>
            <w:tcMar>
              <w:top w:type="dxa" w:w="70"/>
              <w:left w:type="dxa" w:w="110"/>
              <w:bottom w:type="dxa" w:w="70"/>
              <w:right w:type="dxa" w:w="110"/>
            </w:tcMar>
          </w:tcPr>
          <w:p>
            <w:pPr>
              <w:spacing w:after="0" w:before="0" w:line="240"/>
            </w:pPr>
            <w:r>
              <w:rPr>
                <w:rFonts w:ascii="Calibri" w:cs="Calibri" w:eastAsia="Calibri" w:hAnsi="Calibri"/>
                <w:sz w:val="19"/>
                <w:szCs w:val="19"/>
              </w:rPr>
              <w:t xml:space="preserve">Scope</w:t>
            </w:r>
          </w:p>
        </w:tc>
        <w:tc>
          <w:tcPr>
            <w:tcW w:type="dxa" w:w="7660"/>
            <w:tcMar>
              <w:top w:type="dxa" w:w="70"/>
              <w:left w:type="dxa" w:w="110"/>
              <w:bottom w:type="dxa" w:w="70"/>
              <w:right w:type="dxa" w:w="110"/>
            </w:tcMar>
          </w:tcPr>
          <w:p>
            <w:pPr>
              <w:spacing w:after="0" w:before="0" w:line="240"/>
            </w:pPr>
            <w:r>
              <w:rPr>
                <w:rFonts w:ascii="Calibri" w:cs="Calibri" w:eastAsia="Calibri" w:hAnsi="Calibri"/>
                <w:sz w:val="19"/>
                <w:szCs w:val="19"/>
              </w:rPr>
              <w:t xml:space="preserve">Evaluate the existing AWS account estate and determine how accounts map to KFB environment naming.</w:t>
            </w:r>
          </w:p>
        </w:tc>
      </w:tr>
      <w:tr>
        <w:trPr>
          <w:cantSplit/>
        </w:trPr>
        <w:tc>
          <w:tcPr>
            <w:tcW w:type="dxa" w:w="17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Status</w:t>
            </w:r>
          </w:p>
        </w:tc>
        <w:tc>
          <w:tcPr>
            <w:tcW w:type="dxa" w:w="76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Mapping established. Six items require confirmation before publishing as authoritative.</w:t>
            </w:r>
          </w:p>
        </w:tc>
      </w:tr>
      <w:tr>
        <w:trPr>
          <w:cantSplit/>
        </w:trPr>
        <w:tc>
          <w:tcPr>
            <w:tcW w:type="dxa" w:w="1700"/>
            <w:tcMar>
              <w:top w:type="dxa" w:w="70"/>
              <w:left w:type="dxa" w:w="110"/>
              <w:bottom w:type="dxa" w:w="70"/>
              <w:right w:type="dxa" w:w="110"/>
            </w:tcMar>
          </w:tcPr>
          <w:p>
            <w:pPr>
              <w:spacing w:after="0" w:before="0" w:line="240"/>
            </w:pPr>
            <w:r>
              <w:rPr>
                <w:rFonts w:ascii="Calibri" w:cs="Calibri" w:eastAsia="Calibri" w:hAnsi="Calibri"/>
                <w:sz w:val="19"/>
                <w:szCs w:val="19"/>
              </w:rPr>
              <w:t xml:space="preserve">Account count</w:t>
            </w:r>
          </w:p>
        </w:tc>
        <w:tc>
          <w:tcPr>
            <w:tcW w:type="dxa" w:w="7660"/>
            <w:tcMar>
              <w:top w:type="dxa" w:w="70"/>
              <w:left w:type="dxa" w:w="110"/>
              <w:bottom w:type="dxa" w:w="70"/>
              <w:right w:type="dxa" w:w="110"/>
            </w:tcMar>
          </w:tcPr>
          <w:p>
            <w:pPr>
              <w:spacing w:after="0" w:before="0" w:line="240"/>
            </w:pPr>
            <w:r>
              <w:rPr>
                <w:rFonts w:ascii="Calibri" w:cs="Calibri" w:eastAsia="Calibri" w:hAnsi="Calibri"/>
                <w:sz w:val="19"/>
                <w:szCs w:val="19"/>
              </w:rPr>
              <w:t xml:space="preserve">24 accounts (AWS access portal, user-scoped view).</w:t>
            </w:r>
          </w:p>
        </w:tc>
      </w:tr>
      <w:tr>
        <w:trPr>
          <w:cantSplit/>
        </w:trPr>
        <w:tc>
          <w:tcPr>
            <w:tcW w:type="dxa" w:w="17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Primary sources</w:t>
            </w:r>
          </w:p>
        </w:tc>
        <w:tc>
          <w:tcPr>
            <w:tcW w:type="dxa" w:w="76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Cloud Platform Standard – AWS Account Management; AWS Account &amp; Organization Governance; AWS access portal account list; Cloud Ops working session.</w:t>
            </w:r>
          </w:p>
        </w:tc>
      </w:tr>
    </w:tbl>
    <w:p>
      <w:pPr>
        <w:spacing w:after="260"/>
      </w:pPr>
      <w:r>
        <w:t xml:space="preserve"/>
      </w:r>
    </w:p>
    <w:p>
      <w:pPr>
        <w:pStyle w:val="Heading1"/>
        <w:pBdr>
          <w:bottom w:val="single" w:color="2E5C8A" w:sz="8" w:space="6"/>
        </w:pBdr>
        <w:spacing w:after="160" w:before="360"/>
      </w:pPr>
      <w:r>
        <w:rPr>
          <w:rFonts w:ascii="Calibri" w:cs="Calibri" w:eastAsia="Calibri" w:hAnsi="Calibri"/>
          <w:b/>
          <w:bCs/>
          <w:color w:val="1F3864"/>
          <w:sz w:val="30"/>
          <w:szCs w:val="30"/>
        </w:rPr>
        <w:t xml:space="preserve">The Short Answer</w:t>
      </w:r>
    </w:p>
    <w:p>
      <w:pPr>
        <w:spacing w:after="120" w:before="0" w:line="276"/>
      </w:pPr>
      <w:r>
        <w:rPr>
          <w:rFonts w:ascii="Calibri" w:cs="Calibri" w:eastAsia="Calibri" w:hAnsi="Calibri"/>
          <w:sz w:val="21"/>
          <w:szCs w:val="21"/>
        </w:rPr>
        <w:t xml:space="preserve">There is no single account per environment, because account selection depends on two independent inputs, not one:</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2500"/>
        <w:gridCol w:w="1700"/>
        <w:gridCol w:w="5160"/>
      </w:tblGrid>
      <w:tr>
        <w:trPr>
          <w:tblHeader/>
        </w:trPr>
        <w:tc>
          <w:tcPr>
            <w:tcW w:type="dxa" w:w="25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Input</w:t>
            </w:r>
          </w:p>
        </w:tc>
        <w:tc>
          <w:tcPr>
            <w:tcW w:type="dxa" w:w="17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Determines</w:t>
            </w:r>
          </w:p>
        </w:tc>
        <w:tc>
          <w:tcPr>
            <w:tcW w:type="dxa" w:w="51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Values</w:t>
            </w:r>
          </w:p>
        </w:tc>
      </w:tr>
      <w:tr>
        <w:trPr>
          <w:cantSplit/>
        </w:trPr>
        <w:tc>
          <w:tcPr>
            <w:tcW w:type="dxa" w:w="2500"/>
            <w:tcMar>
              <w:top w:type="dxa" w:w="70"/>
              <w:left w:type="dxa" w:w="110"/>
              <w:bottom w:type="dxa" w:w="70"/>
              <w:right w:type="dxa" w:w="110"/>
            </w:tcMar>
          </w:tcPr>
          <w:p>
            <w:pPr>
              <w:spacing w:after="0" w:before="0" w:line="240"/>
            </w:pPr>
            <w:r>
              <w:rPr>
                <w:rFonts w:ascii="Calibri" w:cs="Calibri" w:eastAsia="Calibri" w:hAnsi="Calibri"/>
                <w:sz w:val="19"/>
                <w:szCs w:val="19"/>
              </w:rPr>
              <w:t xml:space="preserve">The environment</w:t>
            </w:r>
          </w:p>
        </w:tc>
        <w:tc>
          <w:tcPr>
            <w:tcW w:type="dxa" w:w="1700"/>
            <w:tcMar>
              <w:top w:type="dxa" w:w="70"/>
              <w:left w:type="dxa" w:w="110"/>
              <w:bottom w:type="dxa" w:w="70"/>
              <w:right w:type="dxa" w:w="110"/>
            </w:tcMar>
          </w:tcPr>
          <w:p>
            <w:pPr>
              <w:spacing w:after="0" w:before="0" w:line="240"/>
            </w:pPr>
            <w:r>
              <w:rPr>
                <w:rFonts w:ascii="Calibri" w:cs="Calibri" w:eastAsia="Calibri" w:hAnsi="Calibri"/>
                <w:sz w:val="19"/>
                <w:szCs w:val="19"/>
              </w:rPr>
              <w:t xml:space="preserve">The row</w:t>
            </w:r>
          </w:p>
        </w:tc>
        <w:tc>
          <w:tcPr>
            <w:tcW w:type="dxa" w:w="5160"/>
            <w:tcMar>
              <w:top w:type="dxa" w:w="70"/>
              <w:left w:type="dxa" w:w="110"/>
              <w:bottom w:type="dxa" w:w="70"/>
              <w:right w:type="dxa" w:w="110"/>
            </w:tcMar>
          </w:tcPr>
          <w:p>
            <w:pPr>
              <w:spacing w:after="0" w:before="0" w:line="240"/>
            </w:pPr>
            <w:r>
              <w:rPr>
                <w:rFonts w:ascii="Calibri" w:cs="Calibri" w:eastAsia="Calibri" w:hAnsi="Calibri"/>
                <w:sz w:val="19"/>
                <w:szCs w:val="19"/>
              </w:rPr>
              <w:t xml:space="preserve">Dev / QA / UAT / Staging / Perf / MPT / Prod</w:t>
            </w:r>
          </w:p>
        </w:tc>
      </w:tr>
      <w:tr>
        <w:trPr>
          <w:cantSplit/>
        </w:trPr>
        <w:tc>
          <w:tcPr>
            <w:tcW w:type="dxa" w:w="25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The application’s cloud maturity</w:t>
            </w:r>
          </w:p>
        </w:tc>
        <w:tc>
          <w:tcPr>
            <w:tcW w:type="dxa" w:w="17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The column</w:t>
            </w:r>
          </w:p>
        </w:tc>
        <w:tc>
          <w:tcPr>
            <w:tcW w:type="dxa" w:w="51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L1 (migrated, compute-based) vs. L2 (cloud-native, IaC-gated)</w:t>
            </w:r>
          </w:p>
        </w:tc>
      </w:tr>
    </w:tbl>
    <w:p>
      <w:pPr>
        <w:spacing w:after="140"/>
      </w:pPr>
      <w:r>
        <w:t xml:space="preserve"/>
      </w:r>
    </w:p>
    <w:p>
      <w:pPr>
        <w:spacing w:after="120" w:before="0" w:line="276"/>
      </w:pPr>
      <w:r>
        <w:rPr>
          <w:rFonts w:ascii="Calibri" w:cs="Calibri" w:eastAsia="Calibri" w:hAnsi="Calibri"/>
          <w:sz w:val="21"/>
          <w:szCs w:val="21"/>
        </w:rPr>
        <w:t xml:space="preserve">Asking "which account does Perf go to?" has no answer until you also know whether the workload is L1 or L2. This is the core of the confusion raised in the ticket, and it is compounded by the fact that the L1 workload accounts are </w:t>
      </w:r>
      <w:r>
        <w:rPr>
          <w:rFonts w:ascii="Calibri" w:cs="Calibri" w:eastAsia="Calibri" w:hAnsi="Calibri"/>
          <w:b/>
          <w:bCs/>
          <w:sz w:val="21"/>
          <w:szCs w:val="21"/>
        </w:rPr>
        <w:t xml:space="preserve">not</w:t>
      </w:r>
      <w:r>
        <w:rPr>
          <w:rFonts w:ascii="Calibri" w:cs="Calibri" w:eastAsia="Calibri" w:hAnsi="Calibri"/>
          <w:sz w:val="21"/>
          <w:szCs w:val="21"/>
        </w:rPr>
        <w:t xml:space="preserve"> named with an </w:t>
      </w:r>
      <w:r>
        <w:rPr>
          <w:rFonts w:ascii="Consolas" w:cs="Consolas" w:eastAsia="Consolas" w:hAnsi="Consolas"/>
          <w:sz w:val="20"/>
          <w:szCs w:val="20"/>
        </w:rPr>
        <w:t xml:space="preserve">L1-</w:t>
      </w:r>
      <w:r>
        <w:rPr>
          <w:rFonts w:ascii="Calibri" w:cs="Calibri" w:eastAsia="Calibri" w:hAnsi="Calibri"/>
          <w:sz w:val="21"/>
          <w:szCs w:val="21"/>
        </w:rPr>
        <w:t xml:space="preserve"> prefix (see Finding 2).</w:t>
      </w:r>
    </w:p>
    <w:p>
      <w:pPr>
        <w:pStyle w:val="Heading1"/>
        <w:pBdr>
          <w:bottom w:val="single" w:color="2E5C8A" w:sz="8" w:space="6"/>
        </w:pBdr>
        <w:spacing w:after="160" w:before="360"/>
      </w:pPr>
      <w:r>
        <w:rPr>
          <w:rFonts w:ascii="Calibri" w:cs="Calibri" w:eastAsia="Calibri" w:hAnsi="Calibri"/>
          <w:b/>
          <w:bCs/>
          <w:color w:val="1F3864"/>
          <w:sz w:val="30"/>
          <w:szCs w:val="30"/>
        </w:rPr>
        <w:t xml:space="preserve">Mapping Table</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2100"/>
        <w:gridCol w:w="1750"/>
        <w:gridCol w:w="2755"/>
        <w:gridCol w:w="2755"/>
      </w:tblGrid>
      <w:tr>
        <w:trPr>
          <w:tblHeader/>
        </w:trPr>
        <w:tc>
          <w:tcPr>
            <w:tcW w:type="dxa" w:w="21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KFB environment</w:t>
            </w:r>
          </w:p>
        </w:tc>
        <w:tc>
          <w:tcPr>
            <w:tcW w:type="dxa" w:w="175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Lifecycle class</w:t>
            </w:r>
          </w:p>
        </w:tc>
        <w:tc>
          <w:tcPr>
            <w:tcW w:type="dxa" w:w="2755"/>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L1 estate</w:t>
            </w:r>
          </w:p>
        </w:tc>
        <w:tc>
          <w:tcPr>
            <w:tcW w:type="dxa" w:w="2755"/>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L2 estate</w:t>
            </w:r>
          </w:p>
        </w:tc>
      </w:tr>
      <w:tr>
        <w:trPr>
          <w:cantSplit/>
        </w:trPr>
        <w:tc>
          <w:tcPr>
            <w:tcW w:type="dxa" w:w="2100"/>
            <w:tcMar>
              <w:top w:type="dxa" w:w="70"/>
              <w:left w:type="dxa" w:w="110"/>
              <w:bottom w:type="dxa" w:w="70"/>
              <w:right w:type="dxa" w:w="110"/>
            </w:tcMar>
          </w:tcPr>
          <w:p>
            <w:pPr>
              <w:spacing w:after="0" w:before="0" w:line="240"/>
            </w:pPr>
            <w:r>
              <w:rPr>
                <w:rFonts w:ascii="Calibri" w:cs="Calibri" w:eastAsia="Calibri" w:hAnsi="Calibri"/>
                <w:sz w:val="19"/>
                <w:szCs w:val="19"/>
              </w:rPr>
              <w:t xml:space="preserve">Local / workstation</w:t>
            </w:r>
          </w:p>
        </w:tc>
        <w:tc>
          <w:tcPr>
            <w:tcW w:type="dxa" w:w="1750"/>
            <w:tcMar>
              <w:top w:type="dxa" w:w="70"/>
              <w:left w:type="dxa" w:w="110"/>
              <w:bottom w:type="dxa" w:w="70"/>
              <w:right w:type="dxa" w:w="110"/>
            </w:tcMar>
          </w:tcPr>
          <w:p>
            <w:pPr>
              <w:spacing w:after="0" w:before="0" w:line="240"/>
            </w:pPr>
            <w:r>
              <w:rPr>
                <w:rFonts w:ascii="Calibri" w:cs="Calibri" w:eastAsia="Calibri" w:hAnsi="Calibri"/>
                <w:sz w:val="19"/>
                <w:szCs w:val="19"/>
              </w:rPr>
              <w:t xml:space="preserve">Dev</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Local-Dev</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Local-Dev</w:t>
            </w:r>
          </w:p>
        </w:tc>
      </w:tr>
      <w:tr>
        <w:trPr>
          <w:cantSplit/>
        </w:trPr>
        <w:tc>
          <w:tcPr>
            <w:tcW w:type="dxa" w:w="2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Dev1</w:t>
            </w:r>
          </w:p>
        </w:tc>
        <w:tc>
          <w:tcPr>
            <w:tcW w:type="dxa" w:w="175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L2-Development</w:t>
            </w:r>
          </w:p>
        </w:tc>
      </w:tr>
      <w:tr>
        <w:trPr>
          <w:cantSplit/>
        </w:trPr>
        <w:tc>
          <w:tcPr>
            <w:tcW w:type="dxa" w:w="2100"/>
            <w:tcMar>
              <w:top w:type="dxa" w:w="70"/>
              <w:left w:type="dxa" w:w="110"/>
              <w:bottom w:type="dxa" w:w="70"/>
              <w:right w:type="dxa" w:w="110"/>
            </w:tcMar>
          </w:tcPr>
          <w:p>
            <w:pPr>
              <w:spacing w:after="0" w:before="0" w:line="240"/>
            </w:pPr>
            <w:r>
              <w:rPr>
                <w:rFonts w:ascii="Calibri" w:cs="Calibri" w:eastAsia="Calibri" w:hAnsi="Calibri"/>
                <w:sz w:val="19"/>
                <w:szCs w:val="19"/>
              </w:rPr>
              <w:t xml:space="preserve">Dev2</w:t>
            </w:r>
          </w:p>
        </w:tc>
        <w:tc>
          <w:tcPr>
            <w:tcW w:type="dxa" w:w="1750"/>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L2-Development</w:t>
            </w:r>
          </w:p>
        </w:tc>
      </w:tr>
      <w:tr>
        <w:trPr>
          <w:cantSplit/>
        </w:trPr>
        <w:tc>
          <w:tcPr>
            <w:tcW w:type="dxa" w:w="2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QA1</w:t>
            </w:r>
          </w:p>
        </w:tc>
        <w:tc>
          <w:tcPr>
            <w:tcW w:type="dxa" w:w="175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L2-QA</w:t>
            </w:r>
          </w:p>
        </w:tc>
      </w:tr>
      <w:tr>
        <w:trPr>
          <w:cantSplit/>
        </w:trPr>
        <w:tc>
          <w:tcPr>
            <w:tcW w:type="dxa" w:w="2100"/>
            <w:tcMar>
              <w:top w:type="dxa" w:w="70"/>
              <w:left w:type="dxa" w:w="110"/>
              <w:bottom w:type="dxa" w:w="70"/>
              <w:right w:type="dxa" w:w="110"/>
            </w:tcMar>
          </w:tcPr>
          <w:p>
            <w:pPr>
              <w:spacing w:after="0" w:before="0" w:line="240"/>
            </w:pPr>
            <w:r>
              <w:rPr>
                <w:rFonts w:ascii="Calibri" w:cs="Calibri" w:eastAsia="Calibri" w:hAnsi="Calibri"/>
                <w:sz w:val="19"/>
                <w:szCs w:val="19"/>
              </w:rPr>
              <w:t xml:space="preserve">QA2</w:t>
            </w:r>
          </w:p>
        </w:tc>
        <w:tc>
          <w:tcPr>
            <w:tcW w:type="dxa" w:w="1750"/>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L2-QA</w:t>
            </w:r>
          </w:p>
        </w:tc>
      </w:tr>
      <w:tr>
        <w:trPr>
          <w:cantSplit/>
        </w:trPr>
        <w:tc>
          <w:tcPr>
            <w:tcW w:type="dxa" w:w="2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UAT</w:t>
            </w:r>
          </w:p>
        </w:tc>
        <w:tc>
          <w:tcPr>
            <w:tcW w:type="dxa" w:w="175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L2-UAT</w:t>
            </w:r>
          </w:p>
        </w:tc>
      </w:tr>
      <w:tr>
        <w:trPr>
          <w:cantSplit/>
        </w:trPr>
        <w:tc>
          <w:tcPr>
            <w:tcW w:type="dxa" w:w="2100"/>
            <w:tcMar>
              <w:top w:type="dxa" w:w="70"/>
              <w:left w:type="dxa" w:w="110"/>
              <w:bottom w:type="dxa" w:w="70"/>
              <w:right w:type="dxa" w:w="110"/>
            </w:tcMar>
          </w:tcPr>
          <w:p>
            <w:pPr>
              <w:spacing w:after="0" w:before="0" w:line="240"/>
            </w:pPr>
            <w:r>
              <w:rPr>
                <w:rFonts w:ascii="Calibri" w:cs="Calibri" w:eastAsia="Calibri" w:hAnsi="Calibri"/>
                <w:sz w:val="19"/>
                <w:szCs w:val="19"/>
              </w:rPr>
              <w:t xml:space="preserve">Staging</w:t>
            </w:r>
          </w:p>
        </w:tc>
        <w:tc>
          <w:tcPr>
            <w:tcW w:type="dxa" w:w="1750"/>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Pre-Production</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L2-Pre-Prod</w:t>
            </w:r>
          </w:p>
        </w:tc>
      </w:tr>
      <w:tr>
        <w:trPr>
          <w:cantSplit/>
        </w:trPr>
        <w:tc>
          <w:tcPr>
            <w:tcW w:type="dxa" w:w="2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Perf</w:t>
            </w:r>
          </w:p>
        </w:tc>
        <w:tc>
          <w:tcPr>
            <w:tcW w:type="dxa" w:w="175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 — </w:t>
            </w:r>
            <w:r>
              <w:rPr>
                <w:rFonts w:ascii="Calibri" w:cs="Calibri" w:eastAsia="Calibri" w:hAnsi="Calibri"/>
                <w:b/>
                <w:bCs/>
                <w:sz w:val="19"/>
                <w:szCs w:val="19"/>
              </w:rPr>
              <w:t xml:space="preserve">prod data</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Pre-Production</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L2-Pre-Prod</w:t>
            </w:r>
          </w:p>
        </w:tc>
      </w:tr>
      <w:tr>
        <w:trPr>
          <w:cantSplit/>
        </w:trPr>
        <w:tc>
          <w:tcPr>
            <w:tcW w:type="dxa" w:w="2100"/>
            <w:tcMar>
              <w:top w:type="dxa" w:w="70"/>
              <w:left w:type="dxa" w:w="110"/>
              <w:bottom w:type="dxa" w:w="70"/>
              <w:right w:type="dxa" w:w="110"/>
            </w:tcMar>
          </w:tcPr>
          <w:p>
            <w:pPr>
              <w:spacing w:after="0" w:before="0" w:line="240"/>
            </w:pPr>
            <w:r>
              <w:rPr>
                <w:rFonts w:ascii="Calibri" w:cs="Calibri" w:eastAsia="Calibri" w:hAnsi="Calibri"/>
                <w:sz w:val="19"/>
                <w:szCs w:val="19"/>
              </w:rPr>
              <w:t xml:space="preserve">MPT / NPT</w:t>
            </w:r>
          </w:p>
        </w:tc>
        <w:tc>
          <w:tcPr>
            <w:tcW w:type="dxa" w:w="1750"/>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 — </w:t>
            </w:r>
            <w:r>
              <w:rPr>
                <w:rFonts w:ascii="Calibri" w:cs="Calibri" w:eastAsia="Calibri" w:hAnsi="Calibri"/>
                <w:b/>
                <w:bCs/>
                <w:sz w:val="19"/>
                <w:szCs w:val="19"/>
              </w:rPr>
              <w:t xml:space="preserve">prod data</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Pre-Production</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L2-Pre-Prod</w:t>
            </w:r>
          </w:p>
        </w:tc>
      </w:tr>
      <w:tr>
        <w:trPr>
          <w:cantSplit/>
        </w:trPr>
        <w:tc>
          <w:tcPr>
            <w:tcW w:type="dxa" w:w="2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Production</w:t>
            </w:r>
          </w:p>
        </w:tc>
        <w:tc>
          <w:tcPr>
            <w:tcW w:type="dxa" w:w="175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Prod</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Production</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L2-Prod</w:t>
            </w:r>
          </w:p>
        </w:tc>
      </w:tr>
      <w:tr>
        <w:trPr>
          <w:cantSplit/>
        </w:trPr>
        <w:tc>
          <w:tcPr>
            <w:tcW w:type="dxa" w:w="2100"/>
            <w:tcMar>
              <w:top w:type="dxa" w:w="70"/>
              <w:left w:type="dxa" w:w="110"/>
              <w:bottom w:type="dxa" w:w="70"/>
              <w:right w:type="dxa" w:w="110"/>
            </w:tcMar>
          </w:tcPr>
          <w:p>
            <w:pPr>
              <w:spacing w:after="0" w:before="0" w:line="240"/>
            </w:pPr>
            <w:r>
              <w:rPr>
                <w:rFonts w:ascii="Calibri" w:cs="Calibri" w:eastAsia="Calibri" w:hAnsi="Calibri"/>
                <w:sz w:val="19"/>
                <w:szCs w:val="19"/>
              </w:rPr>
              <w:t xml:space="preserve">CI/CD, TF state, modules</w:t>
            </w:r>
          </w:p>
        </w:tc>
        <w:tc>
          <w:tcPr>
            <w:tcW w:type="dxa" w:w="1750"/>
            <w:tcMar>
              <w:top w:type="dxa" w:w="70"/>
              <w:left w:type="dxa" w:w="110"/>
              <w:bottom w:type="dxa" w:w="70"/>
              <w:right w:type="dxa" w:w="110"/>
            </w:tcMar>
          </w:tcPr>
          <w:p>
            <w:pPr>
              <w:spacing w:after="0" w:before="0" w:line="240"/>
            </w:pPr>
            <w:r>
              <w:rPr>
                <w:rFonts w:ascii="Calibri" w:cs="Calibri" w:eastAsia="Calibri" w:hAnsi="Calibri"/>
                <w:sz w:val="19"/>
                <w:szCs w:val="19"/>
              </w:rPr>
              <w:t xml:space="preserve">Shared</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L1-Tooling, TFRepository, KFB-Terraform-Modules</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L2-Tooling, TFRepository, KFB-Terraform-Modules</w:t>
            </w:r>
          </w:p>
        </w:tc>
      </w:tr>
      <w:tr>
        <w:trPr>
          <w:cantSplit/>
        </w:trPr>
        <w:tc>
          <w:tcPr>
            <w:tcW w:type="dxa" w:w="2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Network, shared platform</w:t>
            </w:r>
          </w:p>
        </w:tc>
        <w:tc>
          <w:tcPr>
            <w:tcW w:type="dxa" w:w="175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Shared</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Network-Services, Shared-Services, Clients</w:t>
            </w:r>
          </w:p>
        </w:tc>
        <w:tc>
          <w:tcPr>
            <w:tcW w:type="dxa" w:w="2755"/>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Network-Services, Shared-Services, Clients</w:t>
            </w:r>
          </w:p>
        </w:tc>
      </w:tr>
      <w:tr>
        <w:trPr>
          <w:cantSplit/>
        </w:trPr>
        <w:tc>
          <w:tcPr>
            <w:tcW w:type="dxa" w:w="2100"/>
            <w:tcMar>
              <w:top w:type="dxa" w:w="70"/>
              <w:left w:type="dxa" w:w="110"/>
              <w:bottom w:type="dxa" w:w="70"/>
              <w:right w:type="dxa" w:w="110"/>
            </w:tcMar>
          </w:tcPr>
          <w:p>
            <w:pPr>
              <w:spacing w:after="0" w:before="0" w:line="240"/>
            </w:pPr>
            <w:r>
              <w:rPr>
                <w:rFonts w:ascii="Calibri" w:cs="Calibri" w:eastAsia="Calibri" w:hAnsi="Calibri"/>
                <w:sz w:val="19"/>
                <w:szCs w:val="19"/>
              </w:rPr>
              <w:t xml:space="preserve">DR</w:t>
            </w:r>
          </w:p>
        </w:tc>
        <w:tc>
          <w:tcPr>
            <w:tcW w:type="dxa" w:w="1750"/>
            <w:tcMar>
              <w:top w:type="dxa" w:w="70"/>
              <w:left w:type="dxa" w:w="110"/>
              <w:bottom w:type="dxa" w:w="70"/>
              <w:right w:type="dxa" w:w="110"/>
            </w:tcMar>
          </w:tcPr>
          <w:p>
            <w:pPr>
              <w:spacing w:after="0" w:before="0" w:line="240"/>
            </w:pPr>
            <w:r>
              <w:rPr>
                <w:rFonts w:ascii="Calibri" w:cs="Calibri" w:eastAsia="Calibri" w:hAnsi="Calibri"/>
                <w:sz w:val="19"/>
                <w:szCs w:val="19"/>
              </w:rPr>
              <w:t xml:space="preserve">—</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DR-Shared-Services-01, DR-NonProd-01</w:t>
            </w:r>
          </w:p>
        </w:tc>
        <w:tc>
          <w:tcPr>
            <w:tcW w:type="dxa" w:w="2755"/>
            <w:tcMar>
              <w:top w:type="dxa" w:w="70"/>
              <w:left w:type="dxa" w:w="110"/>
              <w:bottom w:type="dxa" w:w="70"/>
              <w:right w:type="dxa" w:w="110"/>
            </w:tcMar>
          </w:tcPr>
          <w:p>
            <w:pPr>
              <w:spacing w:after="0" w:before="0" w:line="240"/>
            </w:pPr>
            <w:r>
              <w:rPr>
                <w:rFonts w:ascii="Calibri" w:cs="Calibri" w:eastAsia="Calibri" w:hAnsi="Calibri"/>
                <w:sz w:val="19"/>
                <w:szCs w:val="19"/>
              </w:rPr>
              <w:t xml:space="preserve">DR-Shared-Services-01, DR-NonProd-01</w:t>
            </w:r>
          </w:p>
        </w:tc>
      </w:tr>
    </w:tbl>
    <w:p>
      <w:pPr>
        <w:pStyle w:val="Heading1"/>
        <w:pBdr>
          <w:bottom w:val="single" w:color="2E5C8A" w:sz="8" w:space="6"/>
        </w:pBdr>
        <w:spacing w:after="160" w:before="360"/>
      </w:pPr>
      <w:r>
        <w:rPr>
          <w:rFonts w:ascii="Calibri" w:cs="Calibri" w:eastAsia="Calibri" w:hAnsi="Calibri"/>
          <w:b/>
          <w:bCs/>
          <w:color w:val="1F3864"/>
          <w:sz w:val="30"/>
          <w:szCs w:val="30"/>
        </w:rPr>
        <w:t xml:space="preserve">Direct Answers to the Ticket Questions</w:t>
      </w:r>
    </w:p>
    <w:p>
      <w:pPr>
        <w:pStyle w:val="Heading2"/>
        <w:spacing w:after="120" w:before="280"/>
      </w:pPr>
      <w:r>
        <w:rPr>
          <w:rFonts w:ascii="Calibri" w:cs="Calibri" w:eastAsia="Calibri" w:hAnsi="Calibri"/>
          <w:b/>
          <w:bCs/>
          <w:color w:val="2E5C8A"/>
          <w:sz w:val="24"/>
          <w:szCs w:val="24"/>
        </w:rPr>
        <w:t xml:space="preserve">Perf / Performance — which account?</w:t>
      </w:r>
    </w:p>
    <w:p>
      <w:pPr>
        <w:spacing w:after="120" w:before="0" w:line="276"/>
      </w:pPr>
      <w:r>
        <w:rPr>
          <w:rFonts w:ascii="Calibri" w:cs="Calibri" w:eastAsia="Calibri" w:hAnsi="Calibri"/>
          <w:sz w:val="21"/>
          <w:szCs w:val="21"/>
        </w:rPr>
        <w:t xml:space="preserve">Pre-prod class. L1 workload → </w:t>
      </w:r>
      <w:r>
        <w:rPr>
          <w:rFonts w:ascii="Consolas" w:cs="Consolas" w:eastAsia="Consolas" w:hAnsi="Consolas"/>
          <w:sz w:val="20"/>
          <w:szCs w:val="20"/>
        </w:rPr>
        <w:t xml:space="preserve">Pre-Production</w:t>
      </w:r>
      <w:r>
        <w:rPr>
          <w:rFonts w:ascii="Calibri" w:cs="Calibri" w:eastAsia="Calibri" w:hAnsi="Calibri"/>
          <w:sz w:val="21"/>
          <w:szCs w:val="21"/>
        </w:rPr>
        <w:t xml:space="preserve"> (245850334946). L2 workload → </w:t>
      </w:r>
      <w:r>
        <w:rPr>
          <w:rFonts w:ascii="Consolas" w:cs="Consolas" w:eastAsia="Consolas" w:hAnsi="Consolas"/>
          <w:sz w:val="20"/>
          <w:szCs w:val="20"/>
        </w:rPr>
        <w:t xml:space="preserve">L2-Pre-Prod</w:t>
      </w:r>
      <w:r>
        <w:rPr>
          <w:rFonts w:ascii="Calibri" w:cs="Calibri" w:eastAsia="Calibri" w:hAnsi="Calibri"/>
          <w:sz w:val="21"/>
          <w:szCs w:val="21"/>
        </w:rPr>
        <w:t xml:space="preserve"> (058264307873).</w:t>
      </w:r>
    </w:p>
    <w:p>
      <w:pPr>
        <w:spacing w:after="120" w:before="0" w:line="276"/>
      </w:pPr>
      <w:r>
        <w:rPr>
          <w:rFonts w:ascii="Calibri" w:cs="Calibri" w:eastAsia="Calibri" w:hAnsi="Calibri"/>
          <w:sz w:val="21"/>
          <w:szCs w:val="21"/>
        </w:rPr>
        <w:t xml:space="preserve">This is not inference. It was stated directly in the Cloud Ops working session: L2 has no dedicated Perf or MPT accounts, and if an MPT environment were built it would land in </w:t>
      </w:r>
      <w:r>
        <w:rPr>
          <w:rFonts w:ascii="Consolas" w:cs="Consolas" w:eastAsia="Consolas" w:hAnsi="Consolas"/>
          <w:sz w:val="20"/>
          <w:szCs w:val="20"/>
        </w:rPr>
        <w:t xml:space="preserve">L2-Pre-Prod</w:t>
      </w:r>
      <w:r>
        <w:rPr>
          <w:rFonts w:ascii="Calibri" w:cs="Calibri" w:eastAsia="Calibri" w:hAnsi="Calibri"/>
          <w:sz w:val="21"/>
          <w:szCs w:val="21"/>
        </w:rPr>
        <w:t xml:space="preserve"> alongside Perf. Pre-prod was described explicitly as "Perf and MPT."</w:t>
      </w:r>
    </w:p>
    <w:p>
      <w:pPr>
        <w:pBdr>
          <w:top w:val="single" w:color="F0DCC0" w:sz="2" w:space="6"/>
          <w:bottom w:val="single" w:color="F0DCC0" w:sz="2" w:space="6"/>
          <w:left w:val="single" w:color="B54708" w:sz="18" w:space="8"/>
          <w:right w:val="single" w:color="F0DCC0" w:sz="2" w:space="6"/>
        </w:pBdr>
        <w:shd w:fill="FDF6EC" w:color="auto" w:val="clear"/>
        <w:spacing w:after="160" w:before="120" w:line="276"/>
        <w:ind w:left="180" w:right="180"/>
      </w:pPr>
      <w:r>
        <w:rPr>
          <w:rFonts w:ascii="Calibri" w:cs="Calibri" w:eastAsia="Calibri" w:hAnsi="Calibri"/>
          <w:b/>
          <w:bCs/>
          <w:sz w:val="21"/>
          <w:szCs w:val="21"/>
        </w:rPr>
        <w:t xml:space="preserve">Caveat that matters.</w:t>
      </w:r>
      <w:r>
        <w:rPr>
          <w:rFonts w:ascii="Calibri" w:cs="Calibri" w:eastAsia="Calibri" w:hAnsi="Calibri"/>
          <w:sz w:val="21"/>
          <w:szCs w:val="21"/>
        </w:rPr>
        <w:t xml:space="preserve"> Perf and MPT are the two environments outside Production where production data is routinely restored. Production-level security is expected there. Both accounts are nevertheless classified non-production. See Finding 1.</w:t>
      </w:r>
    </w:p>
    <w:p>
      <w:pPr>
        <w:pStyle w:val="Heading2"/>
        <w:spacing w:after="120" w:before="280"/>
      </w:pPr>
      <w:r>
        <w:rPr>
          <w:rFonts w:ascii="Calibri" w:cs="Calibri" w:eastAsia="Calibri" w:hAnsi="Calibri"/>
          <w:b/>
          <w:bCs/>
          <w:color w:val="2E5C8A"/>
          <w:sz w:val="24"/>
          <w:szCs w:val="24"/>
        </w:rPr>
        <w:t xml:space="preserve">Staging — which account?</w:t>
      </w:r>
    </w:p>
    <w:p>
      <w:pPr>
        <w:spacing w:after="120" w:before="0" w:line="276"/>
      </w:pPr>
      <w:r>
        <w:rPr>
          <w:rFonts w:ascii="Calibri" w:cs="Calibri" w:eastAsia="Calibri" w:hAnsi="Calibri"/>
          <w:sz w:val="21"/>
          <w:szCs w:val="21"/>
        </w:rPr>
        <w:t xml:space="preserve">Pre-prod class → </w:t>
      </w:r>
      <w:r>
        <w:rPr>
          <w:rFonts w:ascii="Consolas" w:cs="Consolas" w:eastAsia="Consolas" w:hAnsi="Consolas"/>
          <w:sz w:val="20"/>
          <w:szCs w:val="20"/>
        </w:rPr>
        <w:t xml:space="preserve">Pre-Production</w:t>
      </w:r>
      <w:r>
        <w:rPr>
          <w:rFonts w:ascii="Calibri" w:cs="Calibri" w:eastAsia="Calibri" w:hAnsi="Calibri"/>
          <w:sz w:val="21"/>
          <w:szCs w:val="21"/>
        </w:rPr>
        <w:t xml:space="preserve"> (L1) or </w:t>
      </w:r>
      <w:r>
        <w:rPr>
          <w:rFonts w:ascii="Consolas" w:cs="Consolas" w:eastAsia="Consolas" w:hAnsi="Consolas"/>
          <w:sz w:val="20"/>
          <w:szCs w:val="20"/>
        </w:rPr>
        <w:t xml:space="preserve">L2-Pre-Prod</w:t>
      </w:r>
      <w:r>
        <w:rPr>
          <w:rFonts w:ascii="Calibri" w:cs="Calibri" w:eastAsia="Calibri" w:hAnsi="Calibri"/>
          <w:sz w:val="21"/>
          <w:szCs w:val="21"/>
        </w:rPr>
        <w:t xml:space="preserve"> (L2), per confirmation from the team.</w:t>
      </w:r>
    </w:p>
    <w:p>
      <w:pPr>
        <w:pBdr>
          <w:top w:val="single" w:color="F0DCC0" w:sz="2" w:space="6"/>
          <w:bottom w:val="single" w:color="F0DCC0" w:sz="2" w:space="6"/>
          <w:left w:val="single" w:color="B54708" w:sz="18" w:space="8"/>
          <w:right w:val="single" w:color="F0DCC0" w:sz="2" w:space="6"/>
        </w:pBdr>
        <w:shd w:fill="FDF6EC" w:color="auto" w:val="clear"/>
        <w:spacing w:after="160" w:before="120" w:line="276"/>
        <w:ind w:left="180" w:right="180"/>
      </w:pPr>
      <w:r>
        <w:rPr>
          <w:rFonts w:ascii="Calibri" w:cs="Calibri" w:eastAsia="Calibri" w:hAnsi="Calibri"/>
          <w:b/>
          <w:bCs/>
          <w:sz w:val="21"/>
          <w:szCs w:val="21"/>
        </w:rPr>
        <w:t xml:space="preserve">Confirm before publishing.</w:t>
      </w:r>
      <w:r>
        <w:rPr>
          <w:rFonts w:ascii="Calibri" w:cs="Calibri" w:eastAsia="Calibri" w:hAnsi="Calibri"/>
          <w:sz w:val="21"/>
          <w:szCs w:val="21"/>
        </w:rPr>
        <w:t xml:space="preserve"> The Cloud Ops session characterized pre-prod as consisting of Perf and MPT, and did not mention Staging as a third environment. Either Staging is a distinct third pre-prod environment, or it is an alternate name for one of those two. This is not a naming quibble: if Staging turns out to be MPT under another name, then Staging holds production data and the risk profile in the mapping table above is wrong.</w:t>
      </w:r>
    </w:p>
    <w:p>
      <w:pPr>
        <w:pStyle w:val="Heading2"/>
        <w:spacing w:after="120" w:before="280"/>
      </w:pPr>
      <w:r>
        <w:rPr>
          <w:rFonts w:ascii="Calibri" w:cs="Calibri" w:eastAsia="Calibri" w:hAnsi="Calibri"/>
          <w:b/>
          <w:bCs/>
          <w:color w:val="2E5C8A"/>
          <w:sz w:val="24"/>
          <w:szCs w:val="24"/>
        </w:rPr>
        <w:t xml:space="preserve">Dev1 vs. Dev2 — different accounts?</w:t>
      </w:r>
    </w:p>
    <w:p>
      <w:pPr>
        <w:spacing w:after="120" w:before="0" w:line="276"/>
      </w:pPr>
      <w:r>
        <w:rPr>
          <w:rFonts w:ascii="Calibri" w:cs="Calibri" w:eastAsia="Calibri" w:hAnsi="Calibri"/>
          <w:sz w:val="21"/>
          <w:szCs w:val="21"/>
        </w:rPr>
        <w:t xml:space="preserve">No. </w:t>
      </w:r>
      <w:r>
        <w:rPr>
          <w:rFonts w:ascii="Calibri" w:cs="Calibri" w:eastAsia="Calibri" w:hAnsi="Calibri"/>
          <w:b/>
          <w:bCs/>
          <w:sz w:val="21"/>
          <w:szCs w:val="21"/>
        </w:rPr>
        <w:t xml:space="preserve">There is no account-level distinction.</w:t>
      </w:r>
      <w:r>
        <w:rPr>
          <w:rFonts w:ascii="Calibri" w:cs="Calibri" w:eastAsia="Calibri" w:hAnsi="Calibri"/>
          <w:sz w:val="21"/>
          <w:szCs w:val="21"/>
        </w:rPr>
        <w:t xml:space="preserve"> Both land in </w:t>
      </w:r>
      <w:r>
        <w:rPr>
          <w:rFonts w:ascii="Consolas" w:cs="Consolas" w:eastAsia="Consolas" w:hAnsi="Consolas"/>
          <w:sz w:val="20"/>
          <w:szCs w:val="20"/>
        </w:rPr>
        <w:t xml:space="preserve">Non-Production</w:t>
      </w:r>
      <w:r>
        <w:rPr>
          <w:rFonts w:ascii="Calibri" w:cs="Calibri" w:eastAsia="Calibri" w:hAnsi="Calibri"/>
          <w:sz w:val="21"/>
          <w:szCs w:val="21"/>
        </w:rPr>
        <w:t xml:space="preserve"> (L1) or </w:t>
      </w:r>
      <w:r>
        <w:rPr>
          <w:rFonts w:ascii="Consolas" w:cs="Consolas" w:eastAsia="Consolas" w:hAnsi="Consolas"/>
          <w:sz w:val="20"/>
          <w:szCs w:val="20"/>
        </w:rPr>
        <w:t xml:space="preserve">L2-Development</w:t>
      </w:r>
      <w:r>
        <w:rPr>
          <w:rFonts w:ascii="Calibri" w:cs="Calibri" w:eastAsia="Calibri" w:hAnsi="Calibri"/>
          <w:sz w:val="21"/>
          <w:szCs w:val="21"/>
        </w:rPr>
        <w:t xml:space="preserve"> (L2). The same is true of QA1 vs. QA2. They are separated by VPC, naming, and tagging — not by account boundary — and there is currently no defined functional difference between them; they are treated as substitutable.</w:t>
      </w:r>
    </w:p>
    <w:p>
      <w:pPr>
        <w:pStyle w:val="Heading2"/>
        <w:spacing w:after="120" w:before="280"/>
      </w:pPr>
      <w:r>
        <w:rPr>
          <w:rFonts w:ascii="Calibri" w:cs="Calibri" w:eastAsia="Calibri" w:hAnsi="Calibri"/>
          <w:b/>
          <w:bCs/>
          <w:color w:val="2E5C8A"/>
          <w:sz w:val="24"/>
          <w:szCs w:val="24"/>
        </w:rPr>
        <w:t xml:space="preserve">Production — Production or L2-Prod?</w:t>
      </w:r>
    </w:p>
    <w:p>
      <w:pPr>
        <w:spacing w:after="120" w:before="0" w:line="276"/>
      </w:pPr>
      <w:r>
        <w:rPr>
          <w:rFonts w:ascii="Calibri" w:cs="Calibri" w:eastAsia="Calibri" w:hAnsi="Calibri"/>
          <w:sz w:val="21"/>
          <w:szCs w:val="21"/>
        </w:rPr>
        <w:t xml:space="preserve">Determined by the workload, not the environment. Migrated / EC2-based / lift-and-shift → </w:t>
      </w:r>
      <w:r>
        <w:rPr>
          <w:rFonts w:ascii="Consolas" w:cs="Consolas" w:eastAsia="Consolas" w:hAnsi="Consolas"/>
          <w:sz w:val="20"/>
          <w:szCs w:val="20"/>
        </w:rPr>
        <w:t xml:space="preserve">Production</w:t>
      </w:r>
      <w:r>
        <w:rPr>
          <w:rFonts w:ascii="Calibri" w:cs="Calibri" w:eastAsia="Calibri" w:hAnsi="Calibri"/>
          <w:sz w:val="21"/>
          <w:szCs w:val="21"/>
        </w:rPr>
        <w:t xml:space="preserve"> (970423649404). Cloud-native applications that cleared the L2 entry gates → </w:t>
      </w:r>
      <w:r>
        <w:rPr>
          <w:rFonts w:ascii="Consolas" w:cs="Consolas" w:eastAsia="Consolas" w:hAnsi="Consolas"/>
          <w:sz w:val="20"/>
          <w:szCs w:val="20"/>
        </w:rPr>
        <w:t xml:space="preserve">L2-Prod</w:t>
      </w:r>
      <w:r>
        <w:rPr>
          <w:rFonts w:ascii="Calibri" w:cs="Calibri" w:eastAsia="Calibri" w:hAnsi="Calibri"/>
          <w:sz w:val="21"/>
          <w:szCs w:val="21"/>
        </w:rPr>
        <w:t xml:space="preserve"> (339712702314).</w:t>
      </w:r>
    </w:p>
    <w:p>
      <w:r>
        <w:br w:type="page"/>
      </w:r>
    </w:p>
    <w:p>
      <w:pPr>
        <w:pStyle w:val="Heading1"/>
        <w:pBdr>
          <w:bottom w:val="single" w:color="2E5C8A" w:sz="8" w:space="6"/>
        </w:pBdr>
        <w:spacing w:after="160" w:before="360"/>
      </w:pPr>
      <w:r>
        <w:rPr>
          <w:rFonts w:ascii="Calibri" w:cs="Calibri" w:eastAsia="Calibri" w:hAnsi="Calibri"/>
          <w:b/>
          <w:bCs/>
          <w:color w:val="1F3864"/>
          <w:sz w:val="30"/>
          <w:szCs w:val="30"/>
        </w:rPr>
        <w:t xml:space="preserve">Full Account Inventory — 24 Accounts</w:t>
      </w:r>
    </w:p>
    <w:p>
      <w:pPr>
        <w:spacing w:after="120" w:before="0" w:line="276"/>
      </w:pPr>
      <w:r>
        <w:rPr>
          <w:rFonts w:ascii="Calibri" w:cs="Calibri" w:eastAsia="Calibri" w:hAnsi="Calibri"/>
          <w:sz w:val="21"/>
          <w:szCs w:val="21"/>
        </w:rPr>
        <w:t xml:space="preserve">Source: AWS access portal, retrieved by ticket author. Accounts classified against Cloud Platform Standard – AWS Account Management §3.1.1.</w:t>
      </w:r>
    </w:p>
    <w:p>
      <w:pPr>
        <w:pBdr>
          <w:top w:val="single" w:color="F0DCC0" w:sz="2" w:space="6"/>
          <w:bottom w:val="single" w:color="F0DCC0" w:sz="2" w:space="6"/>
          <w:left w:val="single" w:color="B54708" w:sz="18" w:space="8"/>
          <w:right w:val="single" w:color="F0DCC0" w:sz="2" w:space="6"/>
        </w:pBdr>
        <w:shd w:fill="FDF6EC" w:color="auto" w:val="clear"/>
        <w:spacing w:after="160" w:before="120" w:line="276"/>
        <w:ind w:left="180" w:right="180"/>
      </w:pPr>
      <w:r>
        <w:rPr>
          <w:rFonts w:ascii="Calibri" w:cs="Calibri" w:eastAsia="Calibri" w:hAnsi="Calibri"/>
          <w:b/>
          <w:bCs/>
          <w:sz w:val="21"/>
          <w:szCs w:val="21"/>
        </w:rPr>
        <w:t xml:space="preserve">Visibility caveat.</w:t>
      </w:r>
      <w:r>
        <w:rPr>
          <w:rFonts w:ascii="Calibri" w:cs="Calibri" w:eastAsia="Calibri" w:hAnsi="Calibri"/>
          <w:sz w:val="21"/>
          <w:szCs w:val="21"/>
        </w:rPr>
        <w:t xml:space="preserve"> The access portal shows only accounts assigned to the requesting user’s permission sets. 24 is a floor, not a guaranteed complete count. Security-restricted accounts (Audit in particular) would not appear here even if they exist. A </w:t>
      </w:r>
      <w:r>
        <w:rPr>
          <w:rFonts w:ascii="Consolas" w:cs="Consolas" w:eastAsia="Consolas" w:hAnsi="Consolas"/>
          <w:sz w:val="20"/>
          <w:szCs w:val="20"/>
        </w:rPr>
        <w:t xml:space="preserve">list-accounts</w:t>
      </w:r>
      <w:r>
        <w:rPr>
          <w:rFonts w:ascii="Calibri" w:cs="Calibri" w:eastAsia="Calibri" w:hAnsi="Calibri"/>
          <w:sz w:val="21"/>
          <w:szCs w:val="21"/>
        </w:rPr>
        <w:t xml:space="preserve"> call from the management account is the authoritative check.</w:t>
      </w:r>
    </w:p>
    <w:p>
      <w:pPr>
        <w:pStyle w:val="Heading2"/>
        <w:spacing w:after="120" w:before="280"/>
      </w:pPr>
      <w:r>
        <w:rPr>
          <w:rFonts w:ascii="Calibri" w:cs="Calibri" w:eastAsia="Calibri" w:hAnsi="Calibri"/>
          <w:b/>
          <w:bCs/>
          <w:color w:val="2E5C8A"/>
          <w:sz w:val="24"/>
          <w:szCs w:val="24"/>
        </w:rPr>
        <w:t xml:space="preserve">Organization core</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3100"/>
        <w:gridCol w:w="2200"/>
        <w:gridCol w:w="4060"/>
      </w:tblGrid>
      <w:tr>
        <w:trPr>
          <w:tblHeader/>
        </w:trPr>
        <w:tc>
          <w:tcPr>
            <w:tcW w:type="dxa" w:w="31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22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 ID</w:t>
            </w:r>
          </w:p>
        </w:tc>
        <w:tc>
          <w:tcPr>
            <w:tcW w:type="dxa" w:w="40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§3.1.1 type</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KFBMIC AWS Root</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648757933066</w:t>
            </w:r>
          </w:p>
        </w:tc>
        <w:tc>
          <w:tcPr>
            <w:tcW w:type="dxa" w:w="4060"/>
            <w:tcMar>
              <w:top w:type="dxa" w:w="70"/>
              <w:left w:type="dxa" w:w="110"/>
              <w:bottom w:type="dxa" w:w="70"/>
              <w:right w:type="dxa" w:w="110"/>
            </w:tcMar>
          </w:tcPr>
          <w:p>
            <w:pPr>
              <w:spacing w:after="0" w:before="0" w:line="240"/>
            </w:pPr>
            <w:r>
              <w:rPr>
                <w:rFonts w:ascii="Calibri" w:cs="Calibri" w:eastAsia="Calibri" w:hAnsi="Calibri"/>
                <w:i/>
                <w:iCs/>
                <w:sz w:val="19"/>
                <w:szCs w:val="19"/>
              </w:rPr>
              <w:t xml:space="preserve">No matching type — see Finding 8</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Log Archive</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409402213673</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Security</w:t>
            </w:r>
          </w:p>
        </w:tc>
      </w:tr>
    </w:tbl>
    <w:p>
      <w:pPr>
        <w:pStyle w:val="Heading2"/>
        <w:spacing w:after="120" w:before="280"/>
      </w:pPr>
      <w:r>
        <w:rPr>
          <w:rFonts w:ascii="Calibri" w:cs="Calibri" w:eastAsia="Calibri" w:hAnsi="Calibri"/>
          <w:b/>
          <w:bCs/>
          <w:color w:val="2E5C8A"/>
          <w:sz w:val="24"/>
          <w:szCs w:val="24"/>
        </w:rPr>
        <w:t xml:space="preserve">Network and shared services</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3100"/>
        <w:gridCol w:w="2200"/>
        <w:gridCol w:w="4060"/>
      </w:tblGrid>
      <w:tr>
        <w:trPr>
          <w:tblHeader/>
        </w:trPr>
        <w:tc>
          <w:tcPr>
            <w:tcW w:type="dxa" w:w="31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22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 ID</w:t>
            </w:r>
          </w:p>
        </w:tc>
        <w:tc>
          <w:tcPr>
            <w:tcW w:type="dxa" w:w="40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§3.1.1 type</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Network-Services</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988597495512</w:t>
            </w:r>
          </w:p>
        </w:tc>
        <w:tc>
          <w:tcPr>
            <w:tcW w:type="dxa" w:w="4060"/>
            <w:tcMar>
              <w:top w:type="dxa" w:w="70"/>
              <w:left w:type="dxa" w:w="110"/>
              <w:bottom w:type="dxa" w:w="70"/>
              <w:right w:type="dxa" w:w="110"/>
            </w:tcMar>
          </w:tcPr>
          <w:p>
            <w:pPr>
              <w:spacing w:after="0" w:before="0" w:line="240"/>
            </w:pPr>
            <w:r>
              <w:rPr>
                <w:rFonts w:ascii="Calibri" w:cs="Calibri" w:eastAsia="Calibri" w:hAnsi="Calibri"/>
                <w:sz w:val="19"/>
                <w:szCs w:val="19"/>
              </w:rPr>
              <w:t xml:space="preserve">Networking</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Shared-Services</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929382004481</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Shared services</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Clients</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903905634705</w:t>
            </w:r>
          </w:p>
        </w:tc>
        <w:tc>
          <w:tcPr>
            <w:tcW w:type="dxa" w:w="4060"/>
            <w:tcMar>
              <w:top w:type="dxa" w:w="70"/>
              <w:left w:type="dxa" w:w="110"/>
              <w:bottom w:type="dxa" w:w="70"/>
              <w:right w:type="dxa" w:w="110"/>
            </w:tcMar>
          </w:tcPr>
          <w:p>
            <w:pPr>
              <w:spacing w:after="0" w:before="0" w:line="240"/>
            </w:pPr>
            <w:r>
              <w:rPr>
                <w:rFonts w:ascii="Calibri" w:cs="Calibri" w:eastAsia="Calibri" w:hAnsi="Calibri"/>
                <w:sz w:val="19"/>
                <w:szCs w:val="19"/>
              </w:rPr>
              <w:t xml:space="preserve">Shared services </w:t>
            </w:r>
            <w:r>
              <w:rPr>
                <w:rFonts w:ascii="Calibri" w:cs="Calibri" w:eastAsia="Calibri" w:hAnsi="Calibri"/>
                <w:i/>
                <w:iCs/>
                <w:sz w:val="19"/>
                <w:szCs w:val="19"/>
              </w:rPr>
              <w:t xml:space="preserve">(confirm)</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KFB-Reporting</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917151957280</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Shared services </w:t>
            </w:r>
            <w:r>
              <w:rPr>
                <w:rFonts w:ascii="Calibri" w:cs="Calibri" w:eastAsia="Calibri" w:hAnsi="Calibri"/>
                <w:i/>
                <w:iCs/>
                <w:sz w:val="19"/>
                <w:szCs w:val="19"/>
              </w:rPr>
              <w:t xml:space="preserve">(confirm — likely holds prod data)</w:t>
            </w:r>
          </w:p>
        </w:tc>
      </w:tr>
    </w:tbl>
    <w:p>
      <w:pPr>
        <w:pStyle w:val="Heading2"/>
        <w:spacing w:after="120" w:before="280"/>
      </w:pPr>
      <w:r>
        <w:rPr>
          <w:rFonts w:ascii="Calibri" w:cs="Calibri" w:eastAsia="Calibri" w:hAnsi="Calibri"/>
          <w:b/>
          <w:bCs/>
          <w:color w:val="2E5C8A"/>
          <w:sz w:val="24"/>
          <w:szCs w:val="24"/>
        </w:rPr>
        <w:t xml:space="preserve">Infrastructure automation</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3100"/>
        <w:gridCol w:w="2200"/>
        <w:gridCol w:w="4060"/>
      </w:tblGrid>
      <w:tr>
        <w:trPr>
          <w:tblHeader/>
        </w:trPr>
        <w:tc>
          <w:tcPr>
            <w:tcW w:type="dxa" w:w="31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22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 ID</w:t>
            </w:r>
          </w:p>
        </w:tc>
        <w:tc>
          <w:tcPr>
            <w:tcW w:type="dxa" w:w="40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§3.1.1 type</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TFRepository</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672332099264</w:t>
            </w:r>
          </w:p>
        </w:tc>
        <w:tc>
          <w:tcPr>
            <w:tcW w:type="dxa" w:w="4060"/>
            <w:tcMar>
              <w:top w:type="dxa" w:w="70"/>
              <w:left w:type="dxa" w:w="110"/>
              <w:bottom w:type="dxa" w:w="70"/>
              <w:right w:type="dxa" w:w="110"/>
            </w:tcMar>
          </w:tcPr>
          <w:p>
            <w:pPr>
              <w:spacing w:after="0" w:before="0" w:line="240"/>
            </w:pPr>
            <w:r>
              <w:rPr>
                <w:rFonts w:ascii="Calibri" w:cs="Calibri" w:eastAsia="Calibri" w:hAnsi="Calibri"/>
                <w:sz w:val="19"/>
                <w:szCs w:val="19"/>
              </w:rPr>
              <w:t xml:space="preserve">Infrastructure automation</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KFB-Terraform-Modules</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590183874368</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Infrastructure automation</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L1-Tooling</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471112655725</w:t>
            </w:r>
          </w:p>
        </w:tc>
        <w:tc>
          <w:tcPr>
            <w:tcW w:type="dxa" w:w="4060"/>
            <w:tcMar>
              <w:top w:type="dxa" w:w="70"/>
              <w:left w:type="dxa" w:w="110"/>
              <w:bottom w:type="dxa" w:w="70"/>
              <w:right w:type="dxa" w:w="110"/>
            </w:tcMar>
          </w:tcPr>
          <w:p>
            <w:pPr>
              <w:spacing w:after="0" w:before="0" w:line="240"/>
            </w:pPr>
            <w:r>
              <w:rPr>
                <w:rFonts w:ascii="Calibri" w:cs="Calibri" w:eastAsia="Calibri" w:hAnsi="Calibri"/>
                <w:sz w:val="19"/>
                <w:szCs w:val="19"/>
              </w:rPr>
              <w:t xml:space="preserve">Infrastructure automation</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L2-Tooling</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061051220870</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Infrastructure automation</w:t>
            </w:r>
          </w:p>
        </w:tc>
      </w:tr>
    </w:tbl>
    <w:p>
      <w:pPr>
        <w:spacing w:after="120"/>
      </w:pPr>
      <w:r>
        <w:t xml:space="preserve"/>
      </w:r>
    </w:p>
    <w:p>
      <w:pPr>
        <w:spacing w:after="120" w:before="0" w:line="276"/>
      </w:pPr>
      <w:r>
        <w:rPr>
          <w:rFonts w:ascii="Calibri" w:cs="Calibri" w:eastAsia="Calibri" w:hAnsi="Calibri"/>
          <w:sz w:val="21"/>
          <w:szCs w:val="21"/>
        </w:rPr>
        <w:t xml:space="preserve">The L1/L2 tooling split is deliberate. The </w:t>
      </w:r>
      <w:r>
        <w:rPr>
          <w:rFonts w:ascii="Consolas" w:cs="Consolas" w:eastAsia="Consolas" w:hAnsi="Consolas"/>
          <w:sz w:val="20"/>
          <w:szCs w:val="20"/>
        </w:rPr>
        <w:t xml:space="preserve">TFRepository</w:t>
      </w:r>
      <w:r>
        <w:rPr>
          <w:rFonts w:ascii="Calibri" w:cs="Calibri" w:eastAsia="Calibri" w:hAnsi="Calibri"/>
          <w:sz w:val="21"/>
          <w:szCs w:val="21"/>
        </w:rPr>
        <w:t xml:space="preserve"> / </w:t>
      </w:r>
      <w:r>
        <w:rPr>
          <w:rFonts w:ascii="Consolas" w:cs="Consolas" w:eastAsia="Consolas" w:hAnsi="Consolas"/>
          <w:sz w:val="20"/>
          <w:szCs w:val="20"/>
        </w:rPr>
        <w:t xml:space="preserve">KFB-Terraform-Modules</w:t>
      </w:r>
      <w:r>
        <w:rPr>
          <w:rFonts w:ascii="Calibri" w:cs="Calibri" w:eastAsia="Calibri" w:hAnsi="Calibri"/>
          <w:sz w:val="21"/>
          <w:szCs w:val="21"/>
        </w:rPr>
        <w:t xml:space="preserve"> split needs a documented rationale under §3.1.2 — state backend vs. module registry is a reasonable separation, but it is not written down anywhere.</w:t>
      </w:r>
    </w:p>
    <w:p>
      <w:pPr>
        <w:pStyle w:val="Heading2"/>
        <w:spacing w:after="120" w:before="280"/>
      </w:pPr>
      <w:r>
        <w:rPr>
          <w:rFonts w:ascii="Calibri" w:cs="Calibri" w:eastAsia="Calibri" w:hAnsi="Calibri"/>
          <w:b/>
          <w:bCs/>
          <w:color w:val="2E5C8A"/>
          <w:sz w:val="24"/>
          <w:szCs w:val="24"/>
        </w:rPr>
        <w:t xml:space="preserve">L1 estate — migrated / compute-based workloads</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2300"/>
        <w:gridCol w:w="1900"/>
        <w:gridCol w:w="2500"/>
        <w:gridCol w:w="2660"/>
      </w:tblGrid>
      <w:tr>
        <w:trPr>
          <w:tblHeader/>
        </w:trPr>
        <w:tc>
          <w:tcPr>
            <w:tcW w:type="dxa" w:w="23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19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 ID</w:t>
            </w:r>
          </w:p>
        </w:tc>
        <w:tc>
          <w:tcPr>
            <w:tcW w:type="dxa" w:w="25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§3.1.1 type</w:t>
            </w:r>
          </w:p>
        </w:tc>
        <w:tc>
          <w:tcPr>
            <w:tcW w:type="dxa" w:w="26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Environments hosted</w:t>
            </w:r>
          </w:p>
        </w:tc>
      </w:tr>
      <w:tr>
        <w:trPr>
          <w:cantSplit/>
        </w:trPr>
        <w:tc>
          <w:tcPr>
            <w:tcW w:type="dxa" w:w="2300"/>
            <w:tcMar>
              <w:top w:type="dxa" w:w="70"/>
              <w:left w:type="dxa" w:w="110"/>
              <w:bottom w:type="dxa" w:w="70"/>
              <w:right w:type="dxa" w:w="110"/>
            </w:tcMar>
          </w:tcPr>
          <w:p>
            <w:pPr>
              <w:spacing w:after="0" w:before="0" w:line="240"/>
            </w:pPr>
            <w:r>
              <w:rPr>
                <w:rFonts w:ascii="Calibri" w:cs="Calibri" w:eastAsia="Calibri" w:hAnsi="Calibri"/>
                <w:sz w:val="19"/>
                <w:szCs w:val="19"/>
              </w:rPr>
              <w:t xml:space="preserve">Production</w:t>
            </w:r>
          </w:p>
        </w:tc>
        <w:tc>
          <w:tcPr>
            <w:tcW w:type="dxa" w:w="1900"/>
            <w:tcMar>
              <w:top w:type="dxa" w:w="70"/>
              <w:left w:type="dxa" w:w="110"/>
              <w:bottom w:type="dxa" w:w="70"/>
              <w:right w:type="dxa" w:w="110"/>
            </w:tcMar>
          </w:tcPr>
          <w:p>
            <w:pPr>
              <w:spacing w:after="0" w:before="0" w:line="240"/>
            </w:pPr>
            <w:r>
              <w:rPr>
                <w:rFonts w:ascii="Calibri" w:cs="Calibri" w:eastAsia="Calibri" w:hAnsi="Calibri"/>
                <w:sz w:val="19"/>
                <w:szCs w:val="19"/>
              </w:rPr>
              <w:t xml:space="preserve">970423649404</w:t>
            </w:r>
          </w:p>
        </w:tc>
        <w:tc>
          <w:tcPr>
            <w:tcW w:type="dxa" w:w="2500"/>
            <w:tcMar>
              <w:top w:type="dxa" w:w="70"/>
              <w:left w:type="dxa" w:w="110"/>
              <w:bottom w:type="dxa" w:w="70"/>
              <w:right w:type="dxa" w:w="110"/>
            </w:tcMar>
          </w:tcPr>
          <w:p>
            <w:pPr>
              <w:spacing w:after="0" w:before="0" w:line="240"/>
            </w:pPr>
            <w:r>
              <w:rPr>
                <w:rFonts w:ascii="Calibri" w:cs="Calibri" w:eastAsia="Calibri" w:hAnsi="Calibri"/>
                <w:sz w:val="19"/>
                <w:szCs w:val="19"/>
              </w:rPr>
              <w:t xml:space="preserve">Production environment</w:t>
            </w:r>
          </w:p>
        </w:tc>
        <w:tc>
          <w:tcPr>
            <w:tcW w:type="dxa" w:w="2660"/>
            <w:tcMar>
              <w:top w:type="dxa" w:w="70"/>
              <w:left w:type="dxa" w:w="110"/>
              <w:bottom w:type="dxa" w:w="70"/>
              <w:right w:type="dxa" w:w="110"/>
            </w:tcMar>
          </w:tcPr>
          <w:p>
            <w:pPr>
              <w:spacing w:after="0" w:before="0" w:line="240"/>
            </w:pPr>
            <w:r>
              <w:rPr>
                <w:rFonts w:ascii="Calibri" w:cs="Calibri" w:eastAsia="Calibri" w:hAnsi="Calibri"/>
                <w:sz w:val="19"/>
                <w:szCs w:val="19"/>
              </w:rPr>
              <w:t xml:space="preserve">Production</w:t>
            </w:r>
          </w:p>
        </w:tc>
      </w:tr>
      <w:tr>
        <w:trPr>
          <w:cantSplit/>
        </w:trPr>
        <w:tc>
          <w:tcPr>
            <w:tcW w:type="dxa" w:w="23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Pre-Production</w:t>
            </w:r>
          </w:p>
        </w:tc>
        <w:tc>
          <w:tcPr>
            <w:tcW w:type="dxa" w:w="19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245850334946</w:t>
            </w:r>
          </w:p>
        </w:tc>
        <w:tc>
          <w:tcPr>
            <w:tcW w:type="dxa" w:w="25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 ⚠</w:t>
            </w:r>
          </w:p>
        </w:tc>
        <w:tc>
          <w:tcPr>
            <w:tcW w:type="dxa" w:w="26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Staging, Perf, MPT</w:t>
            </w:r>
          </w:p>
        </w:tc>
      </w:tr>
      <w:tr>
        <w:trPr>
          <w:cantSplit/>
        </w:trPr>
        <w:tc>
          <w:tcPr>
            <w:tcW w:type="dxa" w:w="2300"/>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1900"/>
            <w:tcMar>
              <w:top w:type="dxa" w:w="70"/>
              <w:left w:type="dxa" w:w="110"/>
              <w:bottom w:type="dxa" w:w="70"/>
              <w:right w:type="dxa" w:w="110"/>
            </w:tcMar>
          </w:tcPr>
          <w:p>
            <w:pPr>
              <w:spacing w:after="0" w:before="0" w:line="240"/>
            </w:pPr>
            <w:r>
              <w:rPr>
                <w:rFonts w:ascii="Calibri" w:cs="Calibri" w:eastAsia="Calibri" w:hAnsi="Calibri"/>
                <w:sz w:val="19"/>
                <w:szCs w:val="19"/>
              </w:rPr>
              <w:t xml:space="preserve">078949964453</w:t>
            </w:r>
          </w:p>
        </w:tc>
        <w:tc>
          <w:tcPr>
            <w:tcW w:type="dxa" w:w="2500"/>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660"/>
            <w:tcMar>
              <w:top w:type="dxa" w:w="70"/>
              <w:left w:type="dxa" w:w="110"/>
              <w:bottom w:type="dxa" w:w="70"/>
              <w:right w:type="dxa" w:w="110"/>
            </w:tcMar>
          </w:tcPr>
          <w:p>
            <w:pPr>
              <w:spacing w:after="0" w:before="0" w:line="240"/>
            </w:pPr>
            <w:r>
              <w:rPr>
                <w:rFonts w:ascii="Calibri" w:cs="Calibri" w:eastAsia="Calibri" w:hAnsi="Calibri"/>
                <w:sz w:val="19"/>
                <w:szCs w:val="19"/>
              </w:rPr>
              <w:t xml:space="preserve">Dev1, Dev2, QA1, QA2, UAT</w:t>
            </w:r>
          </w:p>
        </w:tc>
      </w:tr>
    </w:tbl>
    <w:p>
      <w:pPr>
        <w:pStyle w:val="Heading2"/>
        <w:spacing w:after="120" w:before="280"/>
      </w:pPr>
      <w:r>
        <w:rPr>
          <w:rFonts w:ascii="Calibri" w:cs="Calibri" w:eastAsia="Calibri" w:hAnsi="Calibri"/>
          <w:b/>
          <w:bCs/>
          <w:color w:val="2E5C8A"/>
          <w:sz w:val="24"/>
          <w:szCs w:val="24"/>
        </w:rPr>
        <w:t xml:space="preserve">L2 estate — cloud-native workloads</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2300"/>
        <w:gridCol w:w="1900"/>
        <w:gridCol w:w="2500"/>
        <w:gridCol w:w="2660"/>
      </w:tblGrid>
      <w:tr>
        <w:trPr>
          <w:tblHeader/>
        </w:trPr>
        <w:tc>
          <w:tcPr>
            <w:tcW w:type="dxa" w:w="23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19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 ID</w:t>
            </w:r>
          </w:p>
        </w:tc>
        <w:tc>
          <w:tcPr>
            <w:tcW w:type="dxa" w:w="25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§3.1.1 type</w:t>
            </w:r>
          </w:p>
        </w:tc>
        <w:tc>
          <w:tcPr>
            <w:tcW w:type="dxa" w:w="26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Environments hosted</w:t>
            </w:r>
          </w:p>
        </w:tc>
      </w:tr>
      <w:tr>
        <w:trPr>
          <w:cantSplit/>
        </w:trPr>
        <w:tc>
          <w:tcPr>
            <w:tcW w:type="dxa" w:w="2300"/>
            <w:tcMar>
              <w:top w:type="dxa" w:w="70"/>
              <w:left w:type="dxa" w:w="110"/>
              <w:bottom w:type="dxa" w:w="70"/>
              <w:right w:type="dxa" w:w="110"/>
            </w:tcMar>
          </w:tcPr>
          <w:p>
            <w:pPr>
              <w:spacing w:after="0" w:before="0" w:line="240"/>
            </w:pPr>
            <w:r>
              <w:rPr>
                <w:rFonts w:ascii="Calibri" w:cs="Calibri" w:eastAsia="Calibri" w:hAnsi="Calibri"/>
                <w:sz w:val="19"/>
                <w:szCs w:val="19"/>
              </w:rPr>
              <w:t xml:space="preserve">L2-Prod</w:t>
            </w:r>
          </w:p>
        </w:tc>
        <w:tc>
          <w:tcPr>
            <w:tcW w:type="dxa" w:w="1900"/>
            <w:tcMar>
              <w:top w:type="dxa" w:w="70"/>
              <w:left w:type="dxa" w:w="110"/>
              <w:bottom w:type="dxa" w:w="70"/>
              <w:right w:type="dxa" w:w="110"/>
            </w:tcMar>
          </w:tcPr>
          <w:p>
            <w:pPr>
              <w:spacing w:after="0" w:before="0" w:line="240"/>
            </w:pPr>
            <w:r>
              <w:rPr>
                <w:rFonts w:ascii="Calibri" w:cs="Calibri" w:eastAsia="Calibri" w:hAnsi="Calibri"/>
                <w:sz w:val="19"/>
                <w:szCs w:val="19"/>
              </w:rPr>
              <w:t xml:space="preserve">339712702314</w:t>
            </w:r>
          </w:p>
        </w:tc>
        <w:tc>
          <w:tcPr>
            <w:tcW w:type="dxa" w:w="2500"/>
            <w:tcMar>
              <w:top w:type="dxa" w:w="70"/>
              <w:left w:type="dxa" w:w="110"/>
              <w:bottom w:type="dxa" w:w="70"/>
              <w:right w:type="dxa" w:w="110"/>
            </w:tcMar>
          </w:tcPr>
          <w:p>
            <w:pPr>
              <w:spacing w:after="0" w:before="0" w:line="240"/>
            </w:pPr>
            <w:r>
              <w:rPr>
                <w:rFonts w:ascii="Calibri" w:cs="Calibri" w:eastAsia="Calibri" w:hAnsi="Calibri"/>
                <w:sz w:val="19"/>
                <w:szCs w:val="19"/>
              </w:rPr>
              <w:t xml:space="preserve">Production environment</w:t>
            </w:r>
          </w:p>
        </w:tc>
        <w:tc>
          <w:tcPr>
            <w:tcW w:type="dxa" w:w="2660"/>
            <w:tcMar>
              <w:top w:type="dxa" w:w="70"/>
              <w:left w:type="dxa" w:w="110"/>
              <w:bottom w:type="dxa" w:w="70"/>
              <w:right w:type="dxa" w:w="110"/>
            </w:tcMar>
          </w:tcPr>
          <w:p>
            <w:pPr>
              <w:spacing w:after="0" w:before="0" w:line="240"/>
            </w:pPr>
            <w:r>
              <w:rPr>
                <w:rFonts w:ascii="Calibri" w:cs="Calibri" w:eastAsia="Calibri" w:hAnsi="Calibri"/>
                <w:sz w:val="19"/>
                <w:szCs w:val="19"/>
              </w:rPr>
              <w:t xml:space="preserve">Production</w:t>
            </w:r>
          </w:p>
        </w:tc>
      </w:tr>
      <w:tr>
        <w:trPr>
          <w:cantSplit/>
        </w:trPr>
        <w:tc>
          <w:tcPr>
            <w:tcW w:type="dxa" w:w="23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L2-Pre-Prod</w:t>
            </w:r>
          </w:p>
        </w:tc>
        <w:tc>
          <w:tcPr>
            <w:tcW w:type="dxa" w:w="19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058264307873</w:t>
            </w:r>
          </w:p>
        </w:tc>
        <w:tc>
          <w:tcPr>
            <w:tcW w:type="dxa" w:w="25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 ⚠</w:t>
            </w:r>
          </w:p>
        </w:tc>
        <w:tc>
          <w:tcPr>
            <w:tcW w:type="dxa" w:w="26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Staging, Perf, MPT</w:t>
            </w:r>
          </w:p>
        </w:tc>
      </w:tr>
      <w:tr>
        <w:trPr>
          <w:cantSplit/>
        </w:trPr>
        <w:tc>
          <w:tcPr>
            <w:tcW w:type="dxa" w:w="2300"/>
            <w:tcMar>
              <w:top w:type="dxa" w:w="70"/>
              <w:left w:type="dxa" w:w="110"/>
              <w:bottom w:type="dxa" w:w="70"/>
              <w:right w:type="dxa" w:w="110"/>
            </w:tcMar>
          </w:tcPr>
          <w:p>
            <w:pPr>
              <w:spacing w:after="0" w:before="0" w:line="240"/>
            </w:pPr>
            <w:r>
              <w:rPr>
                <w:rFonts w:ascii="Calibri" w:cs="Calibri" w:eastAsia="Calibri" w:hAnsi="Calibri"/>
                <w:sz w:val="19"/>
                <w:szCs w:val="19"/>
              </w:rPr>
              <w:t xml:space="preserve">L2-UAT</w:t>
            </w:r>
          </w:p>
        </w:tc>
        <w:tc>
          <w:tcPr>
            <w:tcW w:type="dxa" w:w="1900"/>
            <w:tcMar>
              <w:top w:type="dxa" w:w="70"/>
              <w:left w:type="dxa" w:w="110"/>
              <w:bottom w:type="dxa" w:w="70"/>
              <w:right w:type="dxa" w:w="110"/>
            </w:tcMar>
          </w:tcPr>
          <w:p>
            <w:pPr>
              <w:spacing w:after="0" w:before="0" w:line="240"/>
            </w:pPr>
            <w:r>
              <w:rPr>
                <w:rFonts w:ascii="Calibri" w:cs="Calibri" w:eastAsia="Calibri" w:hAnsi="Calibri"/>
                <w:sz w:val="19"/>
                <w:szCs w:val="19"/>
              </w:rPr>
              <w:t xml:space="preserve">590183719623</w:t>
            </w:r>
          </w:p>
        </w:tc>
        <w:tc>
          <w:tcPr>
            <w:tcW w:type="dxa" w:w="2500"/>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660"/>
            <w:tcMar>
              <w:top w:type="dxa" w:w="70"/>
              <w:left w:type="dxa" w:w="110"/>
              <w:bottom w:type="dxa" w:w="70"/>
              <w:right w:type="dxa" w:w="110"/>
            </w:tcMar>
          </w:tcPr>
          <w:p>
            <w:pPr>
              <w:spacing w:after="0" w:before="0" w:line="240"/>
            </w:pPr>
            <w:r>
              <w:rPr>
                <w:rFonts w:ascii="Calibri" w:cs="Calibri" w:eastAsia="Calibri" w:hAnsi="Calibri"/>
                <w:sz w:val="19"/>
                <w:szCs w:val="19"/>
              </w:rPr>
              <w:t xml:space="preserve">UAT</w:t>
            </w:r>
          </w:p>
        </w:tc>
      </w:tr>
      <w:tr>
        <w:trPr>
          <w:cantSplit/>
        </w:trPr>
        <w:tc>
          <w:tcPr>
            <w:tcW w:type="dxa" w:w="23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L2-QA</w:t>
            </w:r>
          </w:p>
        </w:tc>
        <w:tc>
          <w:tcPr>
            <w:tcW w:type="dxa" w:w="19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851725278890</w:t>
            </w:r>
          </w:p>
        </w:tc>
        <w:tc>
          <w:tcPr>
            <w:tcW w:type="dxa" w:w="25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6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QA1, QA2</w:t>
            </w:r>
          </w:p>
        </w:tc>
      </w:tr>
      <w:tr>
        <w:trPr>
          <w:cantSplit/>
        </w:trPr>
        <w:tc>
          <w:tcPr>
            <w:tcW w:type="dxa" w:w="2300"/>
            <w:tcMar>
              <w:top w:type="dxa" w:w="70"/>
              <w:left w:type="dxa" w:w="110"/>
              <w:bottom w:type="dxa" w:w="70"/>
              <w:right w:type="dxa" w:w="110"/>
            </w:tcMar>
          </w:tcPr>
          <w:p>
            <w:pPr>
              <w:spacing w:after="0" w:before="0" w:line="240"/>
            </w:pPr>
            <w:r>
              <w:rPr>
                <w:rFonts w:ascii="Calibri" w:cs="Calibri" w:eastAsia="Calibri" w:hAnsi="Calibri"/>
                <w:sz w:val="19"/>
                <w:szCs w:val="19"/>
              </w:rPr>
              <w:t xml:space="preserve">L2-Development</w:t>
            </w:r>
          </w:p>
        </w:tc>
        <w:tc>
          <w:tcPr>
            <w:tcW w:type="dxa" w:w="1900"/>
            <w:tcMar>
              <w:top w:type="dxa" w:w="70"/>
              <w:left w:type="dxa" w:w="110"/>
              <w:bottom w:type="dxa" w:w="70"/>
              <w:right w:type="dxa" w:w="110"/>
            </w:tcMar>
          </w:tcPr>
          <w:p>
            <w:pPr>
              <w:spacing w:after="0" w:before="0" w:line="240"/>
            </w:pPr>
            <w:r>
              <w:rPr>
                <w:rFonts w:ascii="Calibri" w:cs="Calibri" w:eastAsia="Calibri" w:hAnsi="Calibri"/>
                <w:sz w:val="19"/>
                <w:szCs w:val="19"/>
              </w:rPr>
              <w:t xml:space="preserve">058264370150</w:t>
            </w:r>
          </w:p>
        </w:tc>
        <w:tc>
          <w:tcPr>
            <w:tcW w:type="dxa" w:w="2500"/>
            <w:tcMar>
              <w:top w:type="dxa" w:w="70"/>
              <w:left w:type="dxa" w:w="110"/>
              <w:bottom w:type="dxa" w:w="70"/>
              <w:right w:type="dxa" w:w="110"/>
            </w:tcMar>
          </w:tcPr>
          <w:p>
            <w:pPr>
              <w:spacing w:after="0" w:before="0" w:line="240"/>
            </w:pPr>
            <w:r>
              <w:rPr>
                <w:rFonts w:ascii="Calibri" w:cs="Calibri" w:eastAsia="Calibri" w:hAnsi="Calibri"/>
                <w:sz w:val="19"/>
                <w:szCs w:val="19"/>
              </w:rPr>
              <w:t xml:space="preserve">Non-production</w:t>
            </w:r>
          </w:p>
        </w:tc>
        <w:tc>
          <w:tcPr>
            <w:tcW w:type="dxa" w:w="2660"/>
            <w:tcMar>
              <w:top w:type="dxa" w:w="70"/>
              <w:left w:type="dxa" w:w="110"/>
              <w:bottom w:type="dxa" w:w="70"/>
              <w:right w:type="dxa" w:w="110"/>
            </w:tcMar>
          </w:tcPr>
          <w:p>
            <w:pPr>
              <w:spacing w:after="0" w:before="0" w:line="240"/>
            </w:pPr>
            <w:r>
              <w:rPr>
                <w:rFonts w:ascii="Calibri" w:cs="Calibri" w:eastAsia="Calibri" w:hAnsi="Calibri"/>
                <w:sz w:val="19"/>
                <w:szCs w:val="19"/>
              </w:rPr>
              <w:t xml:space="preserve">Dev1, Dev2</w:t>
            </w:r>
          </w:p>
        </w:tc>
      </w:tr>
    </w:tbl>
    <w:p>
      <w:pPr>
        <w:spacing w:after="120"/>
      </w:pPr>
      <w:r>
        <w:t xml:space="preserve"/>
      </w:r>
    </w:p>
    <w:p>
      <w:pPr>
        <w:spacing w:after="120" w:before="0" w:line="276"/>
      </w:pPr>
      <w:r>
        <w:rPr>
          <w:rFonts w:ascii="Calibri" w:cs="Calibri" w:eastAsia="Calibri" w:hAnsi="Calibri"/>
          <w:sz w:val="21"/>
          <w:szCs w:val="21"/>
        </w:rPr>
        <w:t xml:space="preserve">⚠ Classification conflicts with actual data usage — see Finding 1.</w:t>
      </w:r>
    </w:p>
    <w:p>
      <w:pPr>
        <w:pStyle w:val="Heading2"/>
        <w:spacing w:after="120" w:before="280"/>
      </w:pPr>
      <w:r>
        <w:rPr>
          <w:rFonts w:ascii="Calibri" w:cs="Calibri" w:eastAsia="Calibri" w:hAnsi="Calibri"/>
          <w:b/>
          <w:bCs/>
          <w:color w:val="2E5C8A"/>
          <w:sz w:val="24"/>
          <w:szCs w:val="24"/>
        </w:rPr>
        <w:t xml:space="preserve">Disaster recovery</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3100"/>
        <w:gridCol w:w="2200"/>
        <w:gridCol w:w="4060"/>
      </w:tblGrid>
      <w:tr>
        <w:trPr>
          <w:tblHeader/>
        </w:trPr>
        <w:tc>
          <w:tcPr>
            <w:tcW w:type="dxa" w:w="31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22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 ID</w:t>
            </w:r>
          </w:p>
        </w:tc>
        <w:tc>
          <w:tcPr>
            <w:tcW w:type="dxa" w:w="40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§3.1.1 type</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DR-Shared-Services-01</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562914265219</w:t>
            </w:r>
          </w:p>
        </w:tc>
        <w:tc>
          <w:tcPr>
            <w:tcW w:type="dxa" w:w="4060"/>
            <w:tcMar>
              <w:top w:type="dxa" w:w="70"/>
              <w:left w:type="dxa" w:w="110"/>
              <w:bottom w:type="dxa" w:w="70"/>
              <w:right w:type="dxa" w:w="110"/>
            </w:tcMar>
          </w:tcPr>
          <w:p>
            <w:pPr>
              <w:spacing w:after="0" w:before="0" w:line="240"/>
            </w:pPr>
            <w:r>
              <w:rPr>
                <w:rFonts w:ascii="Calibri" w:cs="Calibri" w:eastAsia="Calibri" w:hAnsi="Calibri"/>
                <w:i/>
                <w:iCs/>
                <w:sz w:val="19"/>
                <w:szCs w:val="19"/>
              </w:rPr>
              <w:t xml:space="preserve">No DR type exists — see Finding 8</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DR-NonProd-01</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322097347741</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i/>
                <w:iCs/>
                <w:sz w:val="19"/>
                <w:szCs w:val="19"/>
              </w:rPr>
              <w:t xml:space="preserve">No DR type exists — see Finding 8</w:t>
            </w:r>
          </w:p>
        </w:tc>
      </w:tr>
    </w:tbl>
    <w:p>
      <w:pPr>
        <w:spacing w:after="120"/>
      </w:pPr>
      <w:r>
        <w:t xml:space="preserve"/>
      </w:r>
    </w:p>
    <w:p>
      <w:pPr>
        <w:spacing w:after="120" w:before="0" w:line="276"/>
      </w:pPr>
      <w:r>
        <w:rPr>
          <w:rFonts w:ascii="Calibri" w:cs="Calibri" w:eastAsia="Calibri" w:hAnsi="Calibri"/>
          <w:sz w:val="21"/>
          <w:szCs w:val="21"/>
        </w:rPr>
        <w:t xml:space="preserve">The </w:t>
      </w:r>
      <w:r>
        <w:rPr>
          <w:rFonts w:ascii="Consolas" w:cs="Consolas" w:eastAsia="Consolas" w:hAnsi="Consolas"/>
          <w:sz w:val="20"/>
          <w:szCs w:val="20"/>
        </w:rPr>
        <w:t xml:space="preserve">-01</w:t>
      </w:r>
      <w:r>
        <w:rPr>
          <w:rFonts w:ascii="Calibri" w:cs="Calibri" w:eastAsia="Calibri" w:hAnsi="Calibri"/>
          <w:sz w:val="21"/>
          <w:szCs w:val="21"/>
        </w:rPr>
        <w:t xml:space="preserve"> suffix on both implies a numbered series, so additional DR accounts may be planned or provisioned per tier as needed. Whether production workload DR is covered by </w:t>
      </w:r>
      <w:r>
        <w:rPr>
          <w:rFonts w:ascii="Consolas" w:cs="Consolas" w:eastAsia="Consolas" w:hAnsi="Consolas"/>
          <w:sz w:val="20"/>
          <w:szCs w:val="20"/>
        </w:rPr>
        <w:t xml:space="preserve">DR-Shared-Services-01</w:t>
      </w:r>
      <w:r>
        <w:rPr>
          <w:rFonts w:ascii="Calibri" w:cs="Calibri" w:eastAsia="Calibri" w:hAnsi="Calibri"/>
          <w:sz w:val="21"/>
          <w:szCs w:val="21"/>
        </w:rPr>
        <w:t xml:space="preserve"> (its registration email reads </w:t>
      </w:r>
      <w:r>
        <w:rPr>
          <w:rFonts w:ascii="Consolas" w:cs="Consolas" w:eastAsia="Consolas" w:hAnsi="Consolas"/>
          <w:sz w:val="20"/>
          <w:szCs w:val="20"/>
        </w:rPr>
        <w:t xml:space="preserve">sharedProdDR01</w:t>
      </w:r>
      <w:r>
        <w:rPr>
          <w:rFonts w:ascii="Calibri" w:cs="Calibri" w:eastAsia="Calibri" w:hAnsi="Calibri"/>
          <w:sz w:val="21"/>
          <w:szCs w:val="21"/>
        </w:rPr>
        <w:t xml:space="preserve">), by in-region multi-AZ, or not at all is an open item rather than a stated gap.</w:t>
      </w:r>
    </w:p>
    <w:p>
      <w:pPr>
        <w:pStyle w:val="Heading2"/>
        <w:spacing w:after="120" w:before="280"/>
      </w:pPr>
      <w:r>
        <w:rPr>
          <w:rFonts w:ascii="Calibri" w:cs="Calibri" w:eastAsia="Calibri" w:hAnsi="Calibri"/>
          <w:b/>
          <w:bCs/>
          <w:color w:val="2E5C8A"/>
          <w:sz w:val="24"/>
          <w:szCs w:val="24"/>
        </w:rPr>
        <w:t xml:space="preserve">Sandbox and individual development</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3100"/>
        <w:gridCol w:w="2200"/>
        <w:gridCol w:w="4060"/>
      </w:tblGrid>
      <w:tr>
        <w:trPr>
          <w:tblHeader/>
        </w:trPr>
        <w:tc>
          <w:tcPr>
            <w:tcW w:type="dxa" w:w="31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22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 ID</w:t>
            </w:r>
          </w:p>
        </w:tc>
        <w:tc>
          <w:tcPr>
            <w:tcW w:type="dxa" w:w="40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§3.1.1 type</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KFB-Sandbox</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332504859566</w:t>
            </w:r>
          </w:p>
        </w:tc>
        <w:tc>
          <w:tcPr>
            <w:tcW w:type="dxa" w:w="4060"/>
            <w:tcMar>
              <w:top w:type="dxa" w:w="70"/>
              <w:left w:type="dxa" w:w="110"/>
              <w:bottom w:type="dxa" w:w="70"/>
              <w:right w:type="dxa" w:w="110"/>
            </w:tcMar>
          </w:tcPr>
          <w:p>
            <w:pPr>
              <w:spacing w:after="0" w:before="0" w:line="240"/>
            </w:pPr>
            <w:r>
              <w:rPr>
                <w:rFonts w:ascii="Calibri" w:cs="Calibri" w:eastAsia="Calibri" w:hAnsi="Calibri"/>
                <w:sz w:val="19"/>
                <w:szCs w:val="19"/>
              </w:rPr>
              <w:t xml:space="preserve">Sandbox</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Classroom</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591664430615</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Sandbox (training)</w:t>
            </w:r>
          </w:p>
        </w:tc>
      </w:tr>
      <w:tr>
        <w:trPr>
          <w:cantSplit/>
        </w:trPr>
        <w:tc>
          <w:tcPr>
            <w:tcW w:type="dxa" w:w="3100"/>
            <w:tcMar>
              <w:top w:type="dxa" w:w="70"/>
              <w:left w:type="dxa" w:w="110"/>
              <w:bottom w:type="dxa" w:w="70"/>
              <w:right w:type="dxa" w:w="110"/>
            </w:tcMar>
          </w:tcPr>
          <w:p>
            <w:pPr>
              <w:spacing w:after="0" w:before="0" w:line="240"/>
            </w:pPr>
            <w:r>
              <w:rPr>
                <w:rFonts w:ascii="Calibri" w:cs="Calibri" w:eastAsia="Calibri" w:hAnsi="Calibri"/>
                <w:sz w:val="19"/>
                <w:szCs w:val="19"/>
              </w:rPr>
              <w:t xml:space="preserve">Local-Dev</w:t>
            </w:r>
          </w:p>
        </w:tc>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133409251179</w:t>
            </w:r>
          </w:p>
        </w:tc>
        <w:tc>
          <w:tcPr>
            <w:tcW w:type="dxa" w:w="4060"/>
            <w:tcMar>
              <w:top w:type="dxa" w:w="70"/>
              <w:left w:type="dxa" w:w="110"/>
              <w:bottom w:type="dxa" w:w="70"/>
              <w:right w:type="dxa" w:w="110"/>
            </w:tcMar>
          </w:tcPr>
          <w:p>
            <w:pPr>
              <w:spacing w:after="0" w:before="0" w:line="240"/>
            </w:pPr>
            <w:r>
              <w:rPr>
                <w:rFonts w:ascii="Calibri" w:cs="Calibri" w:eastAsia="Calibri" w:hAnsi="Calibri"/>
                <w:sz w:val="19"/>
                <w:szCs w:val="19"/>
              </w:rPr>
              <w:t xml:space="preserve">End-user compute </w:t>
            </w:r>
            <w:r>
              <w:rPr>
                <w:rFonts w:ascii="Calibri" w:cs="Calibri" w:eastAsia="Calibri" w:hAnsi="Calibri"/>
                <w:i/>
                <w:iCs/>
                <w:sz w:val="19"/>
                <w:szCs w:val="19"/>
              </w:rPr>
              <w:t xml:space="preserve">(confirm)</w:t>
            </w:r>
          </w:p>
        </w:tc>
      </w:tr>
      <w:tr>
        <w:trPr>
          <w:cantSplit/>
        </w:trPr>
        <w:tc>
          <w:tcPr>
            <w:tcW w:type="dxa" w:w="31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Slalom-Dev</w:t>
            </w:r>
          </w:p>
        </w:tc>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324873681501</w:t>
            </w:r>
          </w:p>
        </w:tc>
        <w:tc>
          <w:tcPr>
            <w:tcW w:type="dxa" w:w="4060"/>
            <w:shd w:fill="F7F9FB" w:color="auto" w:val="clear"/>
            <w:tcMar>
              <w:top w:type="dxa" w:w="70"/>
              <w:left w:type="dxa" w:w="110"/>
              <w:bottom w:type="dxa" w:w="70"/>
              <w:right w:type="dxa" w:w="110"/>
            </w:tcMar>
          </w:tcPr>
          <w:p>
            <w:pPr>
              <w:spacing w:after="0" w:before="0" w:line="240"/>
            </w:pPr>
            <w:r>
              <w:rPr>
                <w:rFonts w:ascii="Calibri" w:cs="Calibri" w:eastAsia="Calibri" w:hAnsi="Calibri"/>
                <w:i/>
                <w:iCs/>
                <w:sz w:val="19"/>
                <w:szCs w:val="19"/>
              </w:rPr>
              <w:t xml:space="preserve">Unclassified — see Finding 9</w:t>
            </w:r>
          </w:p>
        </w:tc>
      </w:tr>
    </w:tbl>
    <w:p>
      <w:r>
        <w:br w:type="page"/>
      </w:r>
    </w:p>
    <w:p>
      <w:pPr>
        <w:pStyle w:val="Heading1"/>
        <w:pBdr>
          <w:bottom w:val="single" w:color="2E5C8A" w:sz="8" w:space="6"/>
        </w:pBdr>
        <w:spacing w:after="160" w:before="360"/>
      </w:pPr>
      <w:r>
        <w:rPr>
          <w:rFonts w:ascii="Calibri" w:cs="Calibri" w:eastAsia="Calibri" w:hAnsi="Calibri"/>
          <w:b/>
          <w:bCs/>
          <w:color w:val="1F3864"/>
          <w:sz w:val="30"/>
          <w:szCs w:val="30"/>
        </w:rPr>
        <w:t xml:space="preserve">Findings</w:t>
      </w:r>
    </w:p>
    <w:p>
      <w:pPr>
        <w:pStyle w:val="Heading2"/>
        <w:spacing w:after="120" w:before="280"/>
      </w:pPr>
      <w:r>
        <w:rPr>
          <w:rFonts w:ascii="Calibri" w:cs="Calibri" w:eastAsia="Calibri" w:hAnsi="Calibri"/>
          <w:b/>
          <w:bCs/>
          <w:color w:val="2E5C8A"/>
          <w:sz w:val="24"/>
          <w:szCs w:val="24"/>
        </w:rPr>
        <w:t xml:space="preserve">1. Active compliance gap — production data sits in non-production accounts</w:t>
      </w:r>
    </w:p>
    <w:p>
      <w:pPr>
        <w:spacing w:after="120" w:before="0" w:line="276"/>
      </w:pPr>
      <w:r>
        <w:rPr>
          <w:rFonts w:ascii="Calibri" w:cs="Calibri" w:eastAsia="Calibri" w:hAnsi="Calibri"/>
          <w:sz w:val="21"/>
          <w:szCs w:val="21"/>
        </w:rPr>
        <w:t xml:space="preserve">Standard §3.2.1 states that non-production accounts must not process, store, or depend on production data. Perf and MPT do exactly that, and both live in accounts classified as non-production. This needs either a documented exception under §6 (scope, risk, duration, exit plan) or reclassification of the accounts.</w:t>
      </w:r>
    </w:p>
    <w:p>
      <w:pPr>
        <w:spacing w:after="120" w:before="0" w:line="276"/>
      </w:pPr>
      <w:r>
        <w:rPr>
          <w:rFonts w:ascii="Calibri" w:cs="Calibri" w:eastAsia="Calibri" w:hAnsi="Calibri"/>
          <w:sz w:val="21"/>
          <w:szCs w:val="21"/>
        </w:rPr>
        <w:t xml:space="preserve">Two things make this worse than a labelling problem:</w:t>
      </w:r>
    </w:p>
    <w:p>
      <w:pPr>
        <w:pStyle w:val="ListParagraph"/>
        <w:numPr>
          <w:ilvl w:val="0"/>
          <w:numId w:val="2"/>
        </w:numPr>
        <w:spacing w:after="90" w:line="276"/>
      </w:pPr>
      <w:r>
        <w:rPr>
          <w:rFonts w:ascii="Consolas" w:cs="Consolas" w:eastAsia="Consolas" w:hAnsi="Consolas"/>
          <w:sz w:val="20"/>
          <w:szCs w:val="20"/>
        </w:rPr>
        <w:t xml:space="preserve">Pre-Production</w:t>
      </w:r>
      <w:r>
        <w:rPr>
          <w:rFonts w:ascii="Calibri" w:cs="Calibri" w:eastAsia="Calibri" w:hAnsi="Calibri"/>
          <w:sz w:val="21"/>
          <w:szCs w:val="21"/>
        </w:rPr>
        <w:t xml:space="preserve"> and </w:t>
      </w:r>
      <w:r>
        <w:rPr>
          <w:rFonts w:ascii="Consolas" w:cs="Consolas" w:eastAsia="Consolas" w:hAnsi="Consolas"/>
          <w:sz w:val="20"/>
          <w:szCs w:val="20"/>
        </w:rPr>
        <w:t xml:space="preserve">L2-Pre-Prod</w:t>
      </w:r>
      <w:r>
        <w:rPr>
          <w:rFonts w:ascii="Calibri" w:cs="Calibri" w:eastAsia="Calibri" w:hAnsi="Calibri"/>
          <w:sz w:val="21"/>
          <w:szCs w:val="21"/>
        </w:rPr>
        <w:t xml:space="preserve"> each host Staging, Perf, and MPT </w:t>
      </w:r>
      <w:r>
        <w:rPr>
          <w:rFonts w:ascii="Calibri" w:cs="Calibri" w:eastAsia="Calibri" w:hAnsi="Calibri"/>
          <w:b/>
          <w:bCs/>
          <w:sz w:val="21"/>
          <w:szCs w:val="21"/>
        </w:rPr>
        <w:t xml:space="preserve">together</w:t>
      </w:r>
      <w:r>
        <w:rPr>
          <w:rFonts w:ascii="Calibri" w:cs="Calibri" w:eastAsia="Calibri" w:hAnsi="Calibri"/>
          <w:sz w:val="21"/>
          <w:szCs w:val="21"/>
        </w:rPr>
        <w:t xml:space="preserve">. Two of those three hold production data; Staging (as currently understood) does not. Separating them — by account, or by a "contains production data" attribute that forces the higher control set — is the narrowest available fix.</w:t>
      </w:r>
    </w:p>
    <w:p>
      <w:pPr>
        <w:pStyle w:val="ListParagraph"/>
        <w:numPr>
          <w:ilvl w:val="0"/>
          <w:numId w:val="2"/>
        </w:numPr>
        <w:spacing w:after="90" w:line="276"/>
      </w:pPr>
      <w:r>
        <w:rPr>
          <w:rFonts w:ascii="Consolas" w:cs="Consolas" w:eastAsia="Consolas" w:hAnsi="Consolas"/>
          <w:sz w:val="20"/>
          <w:szCs w:val="20"/>
        </w:rPr>
        <w:t xml:space="preserve">KFB-Reporting</w:t>
      </w:r>
      <w:r>
        <w:rPr>
          <w:rFonts w:ascii="Calibri" w:cs="Calibri" w:eastAsia="Calibri" w:hAnsi="Calibri"/>
          <w:sz w:val="21"/>
          <w:szCs w:val="21"/>
        </w:rPr>
        <w:t xml:space="preserve"> should be checked as well. Reporting workloads consume production data by design, and the account is not classified as production.</w:t>
      </w:r>
    </w:p>
    <w:p>
      <w:pPr>
        <w:spacing w:after="120" w:before="0" w:line="276"/>
      </w:pPr>
      <w:r>
        <w:rPr>
          <w:rFonts w:ascii="Calibri" w:cs="Calibri" w:eastAsia="Calibri" w:hAnsi="Calibri"/>
          <w:sz w:val="21"/>
          <w:szCs w:val="21"/>
        </w:rPr>
        <w:t xml:space="preserve">There is also an unresolved definitional issue underneath this: </w:t>
      </w:r>
      <w:r>
        <w:rPr>
          <w:rFonts w:ascii="Calibri" w:cs="Calibri" w:eastAsia="Calibri" w:hAnsi="Calibri"/>
          <w:i/>
          <w:iCs/>
          <w:sz w:val="21"/>
          <w:szCs w:val="21"/>
        </w:rPr>
        <w:t xml:space="preserve">production use</w:t>
      </w:r>
      <w:r>
        <w:rPr>
          <w:rFonts w:ascii="Calibri" w:cs="Calibri" w:eastAsia="Calibri" w:hAnsi="Calibri"/>
          <w:sz w:val="21"/>
          <w:szCs w:val="21"/>
        </w:rPr>
        <w:t xml:space="preserve"> and </w:t>
      </w:r>
      <w:r>
        <w:rPr>
          <w:rFonts w:ascii="Calibri" w:cs="Calibri" w:eastAsia="Calibri" w:hAnsi="Calibri"/>
          <w:i/>
          <w:iCs/>
          <w:sz w:val="21"/>
          <w:szCs w:val="21"/>
        </w:rPr>
        <w:t xml:space="preserve">production data</w:t>
      </w:r>
      <w:r>
        <w:rPr>
          <w:rFonts w:ascii="Calibri" w:cs="Calibri" w:eastAsia="Calibri" w:hAnsi="Calibri"/>
          <w:sz w:val="21"/>
          <w:szCs w:val="21"/>
        </w:rPr>
        <w:t xml:space="preserve"> are not the same thing, and neither the Standard nor the Governance document distinguishes them. That distinction should be settled before any control decisions are made, because it determines what "production controls" actually obligates.</w:t>
      </w:r>
    </w:p>
    <w:p>
      <w:pPr>
        <w:pStyle w:val="Heading2"/>
        <w:spacing w:after="120" w:before="280"/>
      </w:pPr>
      <w:r>
        <w:rPr>
          <w:rFonts w:ascii="Calibri" w:cs="Calibri" w:eastAsia="Calibri" w:hAnsi="Calibri"/>
          <w:b/>
          <w:bCs/>
          <w:color w:val="2E5C8A"/>
          <w:sz w:val="24"/>
          <w:szCs w:val="24"/>
        </w:rPr>
        <w:t xml:space="preserve">2. The L1 workload accounts have no L1- prefix — this is the root cause of the ticket</w:t>
      </w:r>
    </w:p>
    <w:p>
      <w:pPr>
        <w:spacing w:after="120" w:before="0" w:line="276"/>
      </w:pPr>
      <w:r>
        <w:rPr>
          <w:rFonts w:ascii="Consolas" w:cs="Consolas" w:eastAsia="Consolas" w:hAnsi="Consolas"/>
          <w:sz w:val="20"/>
          <w:szCs w:val="20"/>
        </w:rPr>
        <w:t xml:space="preserve">Production</w:t>
      </w:r>
      <w:r>
        <w:rPr>
          <w:rFonts w:ascii="Calibri" w:cs="Calibri" w:eastAsia="Calibri" w:hAnsi="Calibri"/>
          <w:sz w:val="21"/>
          <w:szCs w:val="21"/>
        </w:rPr>
        <w:t xml:space="preserve">, </w:t>
      </w:r>
      <w:r>
        <w:rPr>
          <w:rFonts w:ascii="Consolas" w:cs="Consolas" w:eastAsia="Consolas" w:hAnsi="Consolas"/>
          <w:sz w:val="20"/>
          <w:szCs w:val="20"/>
        </w:rPr>
        <w:t xml:space="preserve">Pre-Production</w:t>
      </w:r>
      <w:r>
        <w:rPr>
          <w:rFonts w:ascii="Calibri" w:cs="Calibri" w:eastAsia="Calibri" w:hAnsi="Calibri"/>
          <w:sz w:val="21"/>
          <w:szCs w:val="21"/>
        </w:rPr>
        <w:t xml:space="preserve">, and </w:t>
      </w:r>
      <w:r>
        <w:rPr>
          <w:rFonts w:ascii="Consolas" w:cs="Consolas" w:eastAsia="Consolas" w:hAnsi="Consolas"/>
          <w:sz w:val="20"/>
          <w:szCs w:val="20"/>
        </w:rPr>
        <w:t xml:space="preserve">Non-Production</w:t>
      </w:r>
      <w:r>
        <w:rPr>
          <w:rFonts w:ascii="Calibri" w:cs="Calibri" w:eastAsia="Calibri" w:hAnsi="Calibri"/>
          <w:sz w:val="21"/>
          <w:szCs w:val="21"/>
        </w:rPr>
        <w:t xml:space="preserve"> </w:t>
      </w:r>
      <w:r>
        <w:rPr>
          <w:rFonts w:ascii="Calibri" w:cs="Calibri" w:eastAsia="Calibri" w:hAnsi="Calibri"/>
          <w:i/>
          <w:iCs/>
          <w:sz w:val="21"/>
          <w:szCs w:val="21"/>
        </w:rPr>
        <w:t xml:space="preserve">are</w:t>
      </w:r>
      <w:r>
        <w:rPr>
          <w:rFonts w:ascii="Calibri" w:cs="Calibri" w:eastAsia="Calibri" w:hAnsi="Calibri"/>
          <w:sz w:val="21"/>
          <w:szCs w:val="21"/>
        </w:rPr>
        <w:t xml:space="preserve"> the L1 estate. They are the direct counterparts to </w:t>
      </w:r>
      <w:r>
        <w:rPr>
          <w:rFonts w:ascii="Consolas" w:cs="Consolas" w:eastAsia="Consolas" w:hAnsi="Consolas"/>
          <w:sz w:val="20"/>
          <w:szCs w:val="20"/>
        </w:rPr>
        <w:t xml:space="preserve">L2-Prod</w:t>
      </w:r>
      <w:r>
        <w:rPr>
          <w:rFonts w:ascii="Calibri" w:cs="Calibri" w:eastAsia="Calibri" w:hAnsi="Calibri"/>
          <w:sz w:val="21"/>
          <w:szCs w:val="21"/>
        </w:rPr>
        <w:t xml:space="preserve">, </w:t>
      </w:r>
      <w:r>
        <w:rPr>
          <w:rFonts w:ascii="Consolas" w:cs="Consolas" w:eastAsia="Consolas" w:hAnsi="Consolas"/>
          <w:sz w:val="20"/>
          <w:szCs w:val="20"/>
        </w:rPr>
        <w:t xml:space="preserve">L2-Pre-Prod</w:t>
      </w:r>
      <w:r>
        <w:rPr>
          <w:rFonts w:ascii="Calibri" w:cs="Calibri" w:eastAsia="Calibri" w:hAnsi="Calibri"/>
          <w:sz w:val="21"/>
          <w:szCs w:val="21"/>
        </w:rPr>
        <w:t xml:space="preserve">, and the L2 non-prod accounts. But because they are unprefixed while </w:t>
      </w:r>
      <w:r>
        <w:rPr>
          <w:rFonts w:ascii="Consolas" w:cs="Consolas" w:eastAsia="Consolas" w:hAnsi="Consolas"/>
          <w:sz w:val="20"/>
          <w:szCs w:val="20"/>
        </w:rPr>
        <w:t xml:space="preserve">L1-Tooling</w:t>
      </w:r>
      <w:r>
        <w:rPr>
          <w:rFonts w:ascii="Calibri" w:cs="Calibri" w:eastAsia="Calibri" w:hAnsi="Calibri"/>
          <w:sz w:val="21"/>
          <w:szCs w:val="21"/>
        </w:rPr>
        <w:t xml:space="preserve"> is prefixed, they read as a separate scheme, a legacy scheme, or an organization-wide scheme — anything but one half of a matched pair.</w:t>
      </w:r>
    </w:p>
    <w:p>
      <w:pPr>
        <w:spacing w:after="120" w:before="0" w:line="276"/>
      </w:pPr>
      <w:r>
        <w:rPr>
          <w:rFonts w:ascii="Calibri" w:cs="Calibri" w:eastAsia="Calibri" w:hAnsi="Calibri"/>
          <w:sz w:val="21"/>
          <w:szCs w:val="21"/>
        </w:rPr>
        <w:t xml:space="preserve">The complete account list confirms the pairing: there is no </w:t>
      </w:r>
      <w:r>
        <w:rPr>
          <w:rFonts w:ascii="Consolas" w:cs="Consolas" w:eastAsia="Consolas" w:hAnsi="Consolas"/>
          <w:sz w:val="20"/>
          <w:szCs w:val="20"/>
        </w:rPr>
        <w:t xml:space="preserve">L1-Development</w:t>
      </w:r>
      <w:r>
        <w:rPr>
          <w:rFonts w:ascii="Calibri" w:cs="Calibri" w:eastAsia="Calibri" w:hAnsi="Calibri"/>
          <w:sz w:val="21"/>
          <w:szCs w:val="21"/>
        </w:rPr>
        <w:t xml:space="preserve">, </w:t>
      </w:r>
      <w:r>
        <w:rPr>
          <w:rFonts w:ascii="Consolas" w:cs="Consolas" w:eastAsia="Consolas" w:hAnsi="Consolas"/>
          <w:sz w:val="20"/>
          <w:szCs w:val="20"/>
        </w:rPr>
        <w:t xml:space="preserve">L1-QA</w:t>
      </w:r>
      <w:r>
        <w:rPr>
          <w:rFonts w:ascii="Calibri" w:cs="Calibri" w:eastAsia="Calibri" w:hAnsi="Calibri"/>
          <w:sz w:val="21"/>
          <w:szCs w:val="21"/>
        </w:rPr>
        <w:t xml:space="preserve">, or </w:t>
      </w:r>
      <w:r>
        <w:rPr>
          <w:rFonts w:ascii="Consolas" w:cs="Consolas" w:eastAsia="Consolas" w:hAnsi="Consolas"/>
          <w:sz w:val="20"/>
          <w:szCs w:val="20"/>
        </w:rPr>
        <w:t xml:space="preserve">L1-UAT</w:t>
      </w:r>
      <w:r>
        <w:rPr>
          <w:rFonts w:ascii="Calibri" w:cs="Calibri" w:eastAsia="Calibri" w:hAnsi="Calibri"/>
          <w:sz w:val="21"/>
          <w:szCs w:val="21"/>
        </w:rPr>
        <w:t xml:space="preserve">, because the L1 estate never split its non-prod environments. Renaming to </w:t>
      </w:r>
      <w:r>
        <w:rPr>
          <w:rFonts w:ascii="Consolas" w:cs="Consolas" w:eastAsia="Consolas" w:hAnsi="Consolas"/>
          <w:sz w:val="20"/>
          <w:szCs w:val="20"/>
        </w:rPr>
        <w:t xml:space="preserve">L1-Production</w:t>
      </w:r>
      <w:r>
        <w:rPr>
          <w:rFonts w:ascii="Calibri" w:cs="Calibri" w:eastAsia="Calibri" w:hAnsi="Calibri"/>
          <w:sz w:val="21"/>
          <w:szCs w:val="21"/>
        </w:rPr>
        <w:t xml:space="preserve"> / </w:t>
      </w:r>
      <w:r>
        <w:rPr>
          <w:rFonts w:ascii="Consolas" w:cs="Consolas" w:eastAsia="Consolas" w:hAnsi="Consolas"/>
          <w:sz w:val="20"/>
          <w:szCs w:val="20"/>
        </w:rPr>
        <w:t xml:space="preserve">L1-Pre-Prod</w:t>
      </w:r>
      <w:r>
        <w:rPr>
          <w:rFonts w:ascii="Calibri" w:cs="Calibri" w:eastAsia="Calibri" w:hAnsi="Calibri"/>
          <w:sz w:val="21"/>
          <w:szCs w:val="21"/>
        </w:rPr>
        <w:t xml:space="preserve"> / </w:t>
      </w:r>
      <w:r>
        <w:rPr>
          <w:rFonts w:ascii="Consolas" w:cs="Consolas" w:eastAsia="Consolas" w:hAnsi="Consolas"/>
          <w:sz w:val="20"/>
          <w:szCs w:val="20"/>
        </w:rPr>
        <w:t xml:space="preserve">L1-Non-Prod</w:t>
      </w:r>
      <w:r>
        <w:rPr>
          <w:rFonts w:ascii="Calibri" w:cs="Calibri" w:eastAsia="Calibri" w:hAnsi="Calibri"/>
          <w:sz w:val="21"/>
          <w:szCs w:val="21"/>
        </w:rPr>
        <w:t xml:space="preserve"> would resolve the ambiguity at near-zero technical cost and is worth doing regardless of which target model is chosen.</w:t>
      </w:r>
    </w:p>
    <w:p>
      <w:pPr>
        <w:pStyle w:val="Heading2"/>
        <w:spacing w:after="120" w:before="280"/>
      </w:pPr>
      <w:r>
        <w:rPr>
          <w:rFonts w:ascii="Calibri" w:cs="Calibri" w:eastAsia="Calibri" w:hAnsi="Calibri"/>
          <w:b/>
          <w:bCs/>
          <w:color w:val="2E5C8A"/>
          <w:sz w:val="24"/>
          <w:szCs w:val="24"/>
        </w:rPr>
        <w:t xml:space="preserve">3. The L1/L2 dimension has drifted from its original intent</w:t>
      </w:r>
    </w:p>
    <w:p>
      <w:pPr>
        <w:spacing w:after="120" w:before="0" w:line="276"/>
      </w:pPr>
      <w:r>
        <w:rPr>
          <w:rFonts w:ascii="Calibri" w:cs="Calibri" w:eastAsia="Calibri" w:hAnsi="Calibri"/>
          <w:sz w:val="21"/>
          <w:szCs w:val="21"/>
        </w:rPr>
        <w:t xml:space="preserve">L1/L2 was defined as a </w:t>
      </w:r>
      <w:r>
        <w:rPr>
          <w:rFonts w:ascii="Calibri" w:cs="Calibri" w:eastAsia="Calibri" w:hAnsi="Calibri"/>
          <w:b/>
          <w:bCs/>
          <w:sz w:val="21"/>
          <w:szCs w:val="21"/>
        </w:rPr>
        <w:t xml:space="preserve">cloud maturity gate</w:t>
      </w:r>
      <w:r>
        <w:rPr>
          <w:rFonts w:ascii="Calibri" w:cs="Calibri" w:eastAsia="Calibri" w:hAnsi="Calibri"/>
          <w:sz w:val="21"/>
          <w:szCs w:val="21"/>
        </w:rPr>
        <w:t xml:space="preserve">, not an environment tier — L1 for migrated and compute-based services, L2 for cloud-native. Entry to L2 was gated on criteria including pipeline/IaC-only deployment, centralized logging, and Secrets Manager usage. Those criteria still exist but are no longer consistently enforced, so the dimension is now widely read as an environment split. Governance §4.2 and §4.5 require that structural drift of this kind not persist unreviewed. The criteria list needs to be recovered from the former CCoE material and either re-enforced or formally retired.</w:t>
      </w:r>
    </w:p>
    <w:p>
      <w:pPr>
        <w:pStyle w:val="Heading2"/>
        <w:spacing w:after="120" w:before="280"/>
      </w:pPr>
      <w:r>
        <w:rPr>
          <w:rFonts w:ascii="Calibri" w:cs="Calibri" w:eastAsia="Calibri" w:hAnsi="Calibri"/>
          <w:b/>
          <w:bCs/>
          <w:color w:val="2E5C8A"/>
          <w:sz w:val="24"/>
          <w:szCs w:val="24"/>
        </w:rPr>
        <w:t xml:space="preserve">4. The current granularity is the worst of the available options</w:t>
      </w:r>
    </w:p>
    <w:p>
      <w:pPr>
        <w:spacing w:after="120" w:before="0" w:line="276"/>
      </w:pPr>
      <w:r>
        <w:rPr>
          <w:rFonts w:ascii="Calibri" w:cs="Calibri" w:eastAsia="Calibri" w:hAnsi="Calibri"/>
          <w:sz w:val="21"/>
          <w:szCs w:val="21"/>
        </w:rPr>
        <w:t xml:space="preserve">The L2 split creates hard account boundaries between environments that have no differentiating controls (QA vs. UAT), while arbitrarily grouping Staging, Perf, and MPT into one account despite their very different data sensitivity. Both endpoints are defensible — three accounts (non-prod / pre-prod / prod) or one account per environment — but the current middle position carries the cost and complexity of separation without delivering the isolation benefit.</w:t>
      </w:r>
    </w:p>
    <w:p>
      <w:pPr>
        <w:pStyle w:val="Heading2"/>
        <w:spacing w:after="120" w:before="280"/>
      </w:pPr>
      <w:r>
        <w:rPr>
          <w:rFonts w:ascii="Calibri" w:cs="Calibri" w:eastAsia="Calibri" w:hAnsi="Calibri"/>
          <w:b/>
          <w:bCs/>
          <w:color w:val="2E5C8A"/>
          <w:sz w:val="24"/>
          <w:szCs w:val="24"/>
        </w:rPr>
        <w:t xml:space="preserve">5. No enforcement mechanism exists for data placement</w:t>
      </w:r>
    </w:p>
    <w:p>
      <w:pPr>
        <w:spacing w:after="120" w:before="0" w:line="276"/>
      </w:pPr>
      <w:r>
        <w:rPr>
          <w:rFonts w:ascii="Calibri" w:cs="Calibri" w:eastAsia="Calibri" w:hAnsi="Calibri"/>
          <w:sz w:val="21"/>
          <w:szCs w:val="21"/>
        </w:rPr>
        <w:t xml:space="preserve">There is no data classification at the database level, so there is no way to detect or prevent PII/NPI landing where it should not. Every statement about what data is allowed in which environment is currently advisory. Any account-model change that depends on data-sensitivity rules will be unenforceable until this is addressed.</w:t>
      </w:r>
    </w:p>
    <w:p>
      <w:pPr>
        <w:pStyle w:val="Heading2"/>
        <w:spacing w:after="120" w:before="280"/>
      </w:pPr>
      <w:r>
        <w:rPr>
          <w:rFonts w:ascii="Calibri" w:cs="Calibri" w:eastAsia="Calibri" w:hAnsi="Calibri"/>
          <w:b/>
          <w:bCs/>
          <w:color w:val="2E5C8A"/>
          <w:sz w:val="24"/>
          <w:szCs w:val="24"/>
        </w:rPr>
        <w:t xml:space="preserve">6. Production-to-non-prod restore requests have no consistent gate</w:t>
      </w:r>
    </w:p>
    <w:p>
      <w:pPr>
        <w:spacing w:after="120" w:before="0" w:line="276"/>
      </w:pPr>
      <w:r>
        <w:rPr>
          <w:rFonts w:ascii="Calibri" w:cs="Calibri" w:eastAsia="Calibri" w:hAnsi="Calibri"/>
          <w:sz w:val="21"/>
          <w:szCs w:val="21"/>
        </w:rPr>
        <w:t xml:space="preserve">Restores are handled informally, and the DBA who would catch an inappropriate request is not reliably in the loop. The new Jira intake forms are the natural place to formalize this.</w:t>
      </w:r>
    </w:p>
    <w:p>
      <w:pPr>
        <w:pStyle w:val="Heading2"/>
        <w:spacing w:after="120" w:before="280"/>
      </w:pPr>
      <w:r>
        <w:rPr>
          <w:rFonts w:ascii="Calibri" w:cs="Calibri" w:eastAsia="Calibri" w:hAnsi="Calibri"/>
          <w:b/>
          <w:bCs/>
          <w:color w:val="2E5C8A"/>
          <w:sz w:val="24"/>
          <w:szCs w:val="24"/>
        </w:rPr>
        <w:t xml:space="preserve">7. Account names and registration emails disagree in three places</w:t>
      </w:r>
    </w:p>
    <w:p>
      <w:pPr>
        <w:spacing w:after="120" w:before="0" w:line="276"/>
      </w:pPr>
      <w:r>
        <w:rPr>
          <w:rFonts w:ascii="Calibri" w:cs="Calibri" w:eastAsia="Calibri" w:hAnsi="Calibri"/>
          <w:sz w:val="21"/>
          <w:szCs w:val="21"/>
        </w:rPr>
        <w:t xml:space="preserve">Evidence of undocumented repurposing, which §3.1.2 prohibits:</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2200"/>
        <w:gridCol w:w="3200"/>
        <w:gridCol w:w="3960"/>
      </w:tblGrid>
      <w:tr>
        <w:trPr>
          <w:tblHeader/>
        </w:trPr>
        <w:tc>
          <w:tcPr>
            <w:tcW w:type="dxa" w:w="22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Account</w:t>
            </w:r>
          </w:p>
        </w:tc>
        <w:tc>
          <w:tcPr>
            <w:tcW w:type="dxa" w:w="32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Registration email</w:t>
            </w:r>
          </w:p>
        </w:tc>
        <w:tc>
          <w:tcPr>
            <w:tcW w:type="dxa" w:w="396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Conflict</w:t>
            </w:r>
          </w:p>
        </w:tc>
      </w:tr>
      <w:tr>
        <w:trPr>
          <w:cantSplit/>
        </w:trPr>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Pre-Production</w:t>
            </w:r>
          </w:p>
        </w:tc>
        <w:tc>
          <w:tcPr>
            <w:tcW w:type="dxa" w:w="3200"/>
            <w:tcMar>
              <w:top w:type="dxa" w:w="70"/>
              <w:left w:type="dxa" w:w="110"/>
              <w:bottom w:type="dxa" w:w="70"/>
              <w:right w:type="dxa" w:w="110"/>
            </w:tcMar>
          </w:tcPr>
          <w:p>
            <w:pPr>
              <w:spacing w:after="0" w:before="0" w:line="240"/>
            </w:pPr>
            <w:r>
              <w:rPr>
                <w:rFonts w:ascii="Calibri" w:cs="Calibri" w:eastAsia="Calibri" w:hAnsi="Calibri"/>
                <w:sz w:val="19"/>
                <w:szCs w:val="19"/>
              </w:rPr>
              <w:t xml:space="preserve">AWS_Infra+NonProd@kyfb.com</w:t>
            </w:r>
          </w:p>
        </w:tc>
        <w:tc>
          <w:tcPr>
            <w:tcW w:type="dxa" w:w="3960"/>
            <w:tcMar>
              <w:top w:type="dxa" w:w="70"/>
              <w:left w:type="dxa" w:w="110"/>
              <w:bottom w:type="dxa" w:w="70"/>
              <w:right w:type="dxa" w:w="110"/>
            </w:tcMar>
          </w:tcPr>
          <w:p>
            <w:pPr>
              <w:spacing w:after="0" w:before="0" w:line="240"/>
            </w:pPr>
            <w:r>
              <w:rPr>
                <w:rFonts w:ascii="Calibri" w:cs="Calibri" w:eastAsia="Calibri" w:hAnsi="Calibri"/>
                <w:sz w:val="19"/>
                <w:szCs w:val="19"/>
              </w:rPr>
              <w:t xml:space="preserve">Email says non-prod, name says pre-prod</w:t>
            </w:r>
          </w:p>
        </w:tc>
      </w:tr>
      <w:tr>
        <w:trPr>
          <w:cantSplit/>
        </w:trPr>
        <w:tc>
          <w:tcPr>
            <w:tcW w:type="dxa" w:w="2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DR-Shared-Services-01</w:t>
            </w:r>
          </w:p>
        </w:tc>
        <w:tc>
          <w:tcPr>
            <w:tcW w:type="dxa" w:w="32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AWS_Infra+sharedProdDR01@kyfb.com</w:t>
            </w:r>
          </w:p>
        </w:tc>
        <w:tc>
          <w:tcPr>
            <w:tcW w:type="dxa" w:w="396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Name says shared services, email says shared </w:t>
            </w:r>
            <w:r>
              <w:rPr>
                <w:rFonts w:ascii="Calibri" w:cs="Calibri" w:eastAsia="Calibri" w:hAnsi="Calibri"/>
                <w:b/>
                <w:bCs/>
                <w:sz w:val="19"/>
                <w:szCs w:val="19"/>
              </w:rPr>
              <w:t xml:space="preserve">prod</w:t>
            </w:r>
          </w:p>
        </w:tc>
      </w:tr>
      <w:tr>
        <w:trPr>
          <w:cantSplit/>
        </w:trPr>
        <w:tc>
          <w:tcPr>
            <w:tcW w:type="dxa" w:w="2200"/>
            <w:tcMar>
              <w:top w:type="dxa" w:w="70"/>
              <w:left w:type="dxa" w:w="110"/>
              <w:bottom w:type="dxa" w:w="70"/>
              <w:right w:type="dxa" w:w="110"/>
            </w:tcMar>
          </w:tcPr>
          <w:p>
            <w:pPr>
              <w:spacing w:after="0" w:before="0" w:line="240"/>
            </w:pPr>
            <w:r>
              <w:rPr>
                <w:rFonts w:ascii="Calibri" w:cs="Calibri" w:eastAsia="Calibri" w:hAnsi="Calibri"/>
                <w:sz w:val="19"/>
                <w:szCs w:val="19"/>
              </w:rPr>
              <w:t xml:space="preserve">Classroom</w:t>
            </w:r>
          </w:p>
        </w:tc>
        <w:tc>
          <w:tcPr>
            <w:tcW w:type="dxa" w:w="3200"/>
            <w:tcMar>
              <w:top w:type="dxa" w:w="70"/>
              <w:left w:type="dxa" w:w="110"/>
              <w:bottom w:type="dxa" w:w="70"/>
              <w:right w:type="dxa" w:w="110"/>
            </w:tcMar>
          </w:tcPr>
          <w:p>
            <w:pPr>
              <w:spacing w:after="0" w:before="0" w:line="240"/>
            </w:pPr>
            <w:r>
              <w:rPr>
                <w:rFonts w:ascii="Calibri" w:cs="Calibri" w:eastAsia="Calibri" w:hAnsi="Calibri"/>
                <w:sz w:val="19"/>
                <w:szCs w:val="19"/>
              </w:rPr>
              <w:t xml:space="preserve">aws_infra+sndbx@kyfb.com</w:t>
            </w:r>
          </w:p>
        </w:tc>
        <w:tc>
          <w:tcPr>
            <w:tcW w:type="dxa" w:w="3960"/>
            <w:tcMar>
              <w:top w:type="dxa" w:w="70"/>
              <w:left w:type="dxa" w:w="110"/>
              <w:bottom w:type="dxa" w:w="70"/>
              <w:right w:type="dxa" w:w="110"/>
            </w:tcMar>
          </w:tcPr>
          <w:p>
            <w:pPr>
              <w:spacing w:after="0" w:before="0" w:line="240"/>
            </w:pPr>
            <w:r>
              <w:rPr>
                <w:rFonts w:ascii="Calibri" w:cs="Calibri" w:eastAsia="Calibri" w:hAnsi="Calibri"/>
                <w:sz w:val="19"/>
                <w:szCs w:val="19"/>
              </w:rPr>
              <w:t xml:space="preserve">Email says sandbox — likely the original sandbox account, later repurposed for training</w:t>
            </w:r>
          </w:p>
        </w:tc>
      </w:tr>
    </w:tbl>
    <w:p>
      <w:pPr>
        <w:spacing w:after="120"/>
      </w:pPr>
      <w:r>
        <w:t xml:space="preserve"/>
      </w:r>
    </w:p>
    <w:p>
      <w:pPr>
        <w:spacing w:after="120" w:before="0" w:line="276"/>
      </w:pPr>
      <w:r>
        <w:rPr>
          <w:rFonts w:ascii="Calibri" w:cs="Calibri" w:eastAsia="Calibri" w:hAnsi="Calibri"/>
          <w:sz w:val="21"/>
          <w:szCs w:val="21"/>
        </w:rPr>
        <w:t xml:space="preserve">Also worth noting: </w:t>
      </w:r>
      <w:r>
        <w:rPr>
          <w:rFonts w:ascii="Consolas" w:cs="Consolas" w:eastAsia="Consolas" w:hAnsi="Consolas"/>
          <w:sz w:val="20"/>
          <w:szCs w:val="20"/>
        </w:rPr>
        <w:t xml:space="preserve">Non-Production</w:t>
      </w:r>
      <w:r>
        <w:rPr>
          <w:rFonts w:ascii="Calibri" w:cs="Calibri" w:eastAsia="Calibri" w:hAnsi="Calibri"/>
          <w:sz w:val="21"/>
          <w:szCs w:val="21"/>
        </w:rPr>
        <w:t xml:space="preserve"> uses </w:t>
      </w:r>
      <w:r>
        <w:rPr>
          <w:rFonts w:ascii="Consolas" w:cs="Consolas" w:eastAsia="Consolas" w:hAnsi="Consolas"/>
          <w:sz w:val="20"/>
          <w:szCs w:val="20"/>
        </w:rPr>
        <w:t xml:space="preserve">aws_busops+np-edr001@kyfb.com</w:t>
      </w:r>
      <w:r>
        <w:rPr>
          <w:rFonts w:ascii="Calibri" w:cs="Calibri" w:eastAsia="Calibri" w:hAnsi="Calibri"/>
          <w:sz w:val="21"/>
          <w:szCs w:val="21"/>
        </w:rPr>
        <w:t xml:space="preserve"> — a different owner prefix (</w:t>
      </w:r>
      <w:r>
        <w:rPr>
          <w:rFonts w:ascii="Consolas" w:cs="Consolas" w:eastAsia="Consolas" w:hAnsi="Consolas"/>
          <w:sz w:val="20"/>
          <w:szCs w:val="20"/>
        </w:rPr>
        <w:t xml:space="preserve">busops</w:t>
      </w:r>
      <w:r>
        <w:rPr>
          <w:rFonts w:ascii="Calibri" w:cs="Calibri" w:eastAsia="Calibri" w:hAnsi="Calibri"/>
          <w:sz w:val="21"/>
          <w:szCs w:val="21"/>
        </w:rPr>
        <w:t xml:space="preserve"> rather than </w:t>
      </w:r>
      <w:r>
        <w:rPr>
          <w:rFonts w:ascii="Consolas" w:cs="Consolas" w:eastAsia="Consolas" w:hAnsi="Consolas"/>
          <w:sz w:val="20"/>
          <w:szCs w:val="20"/>
        </w:rPr>
        <w:t xml:space="preserve">infra</w:t>
      </w:r>
      <w:r>
        <w:rPr>
          <w:rFonts w:ascii="Calibri" w:cs="Calibri" w:eastAsia="Calibri" w:hAnsi="Calibri"/>
          <w:sz w:val="21"/>
          <w:szCs w:val="21"/>
        </w:rPr>
        <w:t xml:space="preserve">) and a workload-specific suffix (</w:t>
      </w:r>
      <w:r>
        <w:rPr>
          <w:rFonts w:ascii="Consolas" w:cs="Consolas" w:eastAsia="Consolas" w:hAnsi="Consolas"/>
          <w:sz w:val="20"/>
          <w:szCs w:val="20"/>
        </w:rPr>
        <w:t xml:space="preserve">edr001</w:t>
      </w:r>
      <w:r>
        <w:rPr>
          <w:rFonts w:ascii="Calibri" w:cs="Calibri" w:eastAsia="Calibri" w:hAnsi="Calibri"/>
          <w:sz w:val="21"/>
          <w:szCs w:val="21"/>
        </w:rPr>
        <w:t xml:space="preserve">), suggesting it was created for one specific purpose and later became the general L1 non-prod account.</w:t>
      </w:r>
    </w:p>
    <w:p>
      <w:pPr>
        <w:pStyle w:val="Heading2"/>
        <w:spacing w:after="120" w:before="280"/>
      </w:pPr>
      <w:r>
        <w:rPr>
          <w:rFonts w:ascii="Calibri" w:cs="Calibri" w:eastAsia="Calibri" w:hAnsi="Calibri"/>
          <w:b/>
          <w:bCs/>
          <w:color w:val="2E5C8A"/>
          <w:sz w:val="24"/>
          <w:szCs w:val="24"/>
        </w:rPr>
        <w:t xml:space="preserve">8. The Standard’s approved account type list is incomplete</w:t>
      </w:r>
    </w:p>
    <w:p>
      <w:pPr>
        <w:spacing w:after="120" w:before="0" w:line="276"/>
      </w:pPr>
      <w:r>
        <w:rPr>
          <w:rFonts w:ascii="Calibri" w:cs="Calibri" w:eastAsia="Calibri" w:hAnsi="Calibri"/>
          <w:sz w:val="21"/>
          <w:szCs w:val="21"/>
        </w:rPr>
        <w:t xml:space="preserve">§3.1.1 enumerates: production, non-production, shared services, infrastructure automation, end-user compute, security, networking, sandbox. Two account categories that demonstrably exist have no bucket:</w:t>
      </w:r>
    </w:p>
    <w:p>
      <w:pPr>
        <w:pStyle w:val="ListParagraph"/>
        <w:numPr>
          <w:ilvl w:val="0"/>
          <w:numId w:val="2"/>
        </w:numPr>
        <w:spacing w:after="90" w:line="276"/>
      </w:pPr>
      <w:r>
        <w:rPr>
          <w:rFonts w:ascii="Calibri" w:cs="Calibri" w:eastAsia="Calibri" w:hAnsi="Calibri"/>
          <w:b/>
          <w:bCs/>
          <w:sz w:val="21"/>
          <w:szCs w:val="21"/>
        </w:rPr>
        <w:t xml:space="preserve">Organization management / payer</w:t>
      </w:r>
      <w:r>
        <w:rPr>
          <w:rFonts w:ascii="Calibri" w:cs="Calibri" w:eastAsia="Calibri" w:hAnsi="Calibri"/>
          <w:sz w:val="21"/>
          <w:szCs w:val="21"/>
        </w:rPr>
        <w:t xml:space="preserve"> — </w:t>
      </w:r>
      <w:r>
        <w:rPr>
          <w:rFonts w:ascii="Consolas" w:cs="Consolas" w:eastAsia="Consolas" w:hAnsi="Consolas"/>
          <w:sz w:val="20"/>
          <w:szCs w:val="20"/>
        </w:rPr>
        <w:t xml:space="preserve">KFBMIC AWS Root</w:t>
      </w:r>
      <w:r>
        <w:rPr>
          <w:rFonts w:ascii="Calibri" w:cs="Calibri" w:eastAsia="Calibri" w:hAnsi="Calibri"/>
          <w:sz w:val="21"/>
          <w:szCs w:val="21"/>
        </w:rPr>
        <w:t xml:space="preserve"> cannot be classified in compliance with the Standard.</w:t>
      </w:r>
    </w:p>
    <w:p>
      <w:pPr>
        <w:pStyle w:val="ListParagraph"/>
        <w:numPr>
          <w:ilvl w:val="0"/>
          <w:numId w:val="2"/>
        </w:numPr>
        <w:spacing w:after="90" w:line="276"/>
      </w:pPr>
      <w:r>
        <w:rPr>
          <w:rFonts w:ascii="Calibri" w:cs="Calibri" w:eastAsia="Calibri" w:hAnsi="Calibri"/>
          <w:b/>
          <w:bCs/>
          <w:sz w:val="21"/>
          <w:szCs w:val="21"/>
        </w:rPr>
        <w:t xml:space="preserve">Disaster recovery</w:t>
      </w:r>
      <w:r>
        <w:rPr>
          <w:rFonts w:ascii="Calibri" w:cs="Calibri" w:eastAsia="Calibri" w:hAnsi="Calibri"/>
          <w:sz w:val="21"/>
          <w:szCs w:val="21"/>
        </w:rPr>
        <w:t xml:space="preserve"> — both DR accounts must be forced into an ill-fitting type.</w:t>
      </w:r>
    </w:p>
    <w:p>
      <w:pPr>
        <w:spacing w:after="120" w:before="0" w:line="276"/>
      </w:pPr>
      <w:r>
        <w:rPr>
          <w:rFonts w:ascii="Calibri" w:cs="Calibri" w:eastAsia="Calibri" w:hAnsi="Calibri"/>
          <w:sz w:val="21"/>
          <w:szCs w:val="21"/>
        </w:rPr>
        <w:t xml:space="preserve">Since §3.1.1 requires every account to be classified into </w:t>
      </w:r>
      <w:r>
        <w:rPr>
          <w:rFonts w:ascii="Calibri" w:cs="Calibri" w:eastAsia="Calibri" w:hAnsi="Calibri"/>
          <w:i/>
          <w:iCs/>
          <w:sz w:val="21"/>
          <w:szCs w:val="21"/>
        </w:rPr>
        <w:t xml:space="preserve">exactly one</w:t>
      </w:r>
      <w:r>
        <w:rPr>
          <w:rFonts w:ascii="Calibri" w:cs="Calibri" w:eastAsia="Calibri" w:hAnsi="Calibri"/>
          <w:sz w:val="21"/>
          <w:szCs w:val="21"/>
        </w:rPr>
        <w:t xml:space="preserve"> approved type, three of 24 accounts are currently unclassifiable by construction. The type list needs two additions.</w:t>
      </w:r>
    </w:p>
    <w:p>
      <w:pPr>
        <w:pStyle w:val="Heading2"/>
        <w:spacing w:after="120" w:before="280"/>
      </w:pPr>
      <w:r>
        <w:rPr>
          <w:rFonts w:ascii="Calibri" w:cs="Calibri" w:eastAsia="Calibri" w:hAnsi="Calibri"/>
          <w:b/>
          <w:bCs/>
          <w:color w:val="2E5C8A"/>
          <w:sz w:val="24"/>
          <w:szCs w:val="24"/>
        </w:rPr>
        <w:t xml:space="preserve">9. Slalom-Dev is registered to an individual mailbox</w:t>
      </w:r>
    </w:p>
    <w:p>
      <w:pPr>
        <w:spacing w:after="120" w:before="0" w:line="276"/>
      </w:pPr>
      <w:r>
        <w:rPr>
          <w:rFonts w:ascii="Consolas" w:cs="Consolas" w:eastAsia="Consolas" w:hAnsi="Consolas"/>
          <w:sz w:val="20"/>
          <w:szCs w:val="20"/>
        </w:rPr>
        <w:t xml:space="preserve">john.wright@kyfb.com</w:t>
      </w:r>
      <w:r>
        <w:rPr>
          <w:rFonts w:ascii="Calibri" w:cs="Calibri" w:eastAsia="Calibri" w:hAnsi="Calibri"/>
          <w:sz w:val="21"/>
          <w:szCs w:val="21"/>
        </w:rPr>
        <w:t xml:space="preserve"> rather than a functional account, with a name suggesting a vendor or partner engagement. This conflicts with §3.3.1 (accounts are platform-owned) and §3.4.4 (documented purpose and classification required at creation). It needs an owner of record, a classification, and — if the engagement has concluded — a decommission date under Governance §4.3.</w:t>
      </w:r>
    </w:p>
    <w:p>
      <w:pPr>
        <w:pStyle w:val="Heading2"/>
        <w:spacing w:after="120" w:before="280"/>
      </w:pPr>
      <w:r>
        <w:rPr>
          <w:rFonts w:ascii="Calibri" w:cs="Calibri" w:eastAsia="Calibri" w:hAnsi="Calibri"/>
          <w:b/>
          <w:bCs/>
          <w:color w:val="2E5C8A"/>
          <w:sz w:val="24"/>
          <w:szCs w:val="24"/>
        </w:rPr>
        <w:t xml:space="preserve">10. Sandbox accounts have no documented classification</w:t>
      </w:r>
    </w:p>
    <w:p>
      <w:pPr>
        <w:spacing w:after="120" w:before="0" w:line="276"/>
      </w:pPr>
      <w:r>
        <w:rPr>
          <w:rFonts w:ascii="Consolas" w:cs="Consolas" w:eastAsia="Consolas" w:hAnsi="Consolas"/>
          <w:sz w:val="20"/>
          <w:szCs w:val="20"/>
        </w:rPr>
        <w:t xml:space="preserve">KFB-Sandbox</w:t>
      </w:r>
      <w:r>
        <w:rPr>
          <w:rFonts w:ascii="Calibri" w:cs="Calibri" w:eastAsia="Calibri" w:hAnsi="Calibri"/>
          <w:sz w:val="21"/>
          <w:szCs w:val="21"/>
        </w:rPr>
        <w:t xml:space="preserve">, </w:t>
      </w:r>
      <w:r>
        <w:rPr>
          <w:rFonts w:ascii="Consolas" w:cs="Consolas" w:eastAsia="Consolas" w:hAnsi="Consolas"/>
          <w:sz w:val="20"/>
          <w:szCs w:val="20"/>
        </w:rPr>
        <w:t xml:space="preserve">Classroom</w:t>
      </w:r>
      <w:r>
        <w:rPr>
          <w:rFonts w:ascii="Calibri" w:cs="Calibri" w:eastAsia="Calibri" w:hAnsi="Calibri"/>
          <w:sz w:val="21"/>
          <w:szCs w:val="21"/>
        </w:rPr>
        <w:t xml:space="preserve">, </w:t>
      </w:r>
      <w:r>
        <w:rPr>
          <w:rFonts w:ascii="Consolas" w:cs="Consolas" w:eastAsia="Consolas" w:hAnsi="Consolas"/>
          <w:sz w:val="20"/>
          <w:szCs w:val="20"/>
        </w:rPr>
        <w:t xml:space="preserve">Local-Dev</w:t>
      </w:r>
      <w:r>
        <w:rPr>
          <w:rFonts w:ascii="Calibri" w:cs="Calibri" w:eastAsia="Calibri" w:hAnsi="Calibri"/>
          <w:sz w:val="21"/>
          <w:szCs w:val="21"/>
        </w:rPr>
        <w:t xml:space="preserve">, and </w:t>
      </w:r>
      <w:r>
        <w:rPr>
          <w:rFonts w:ascii="Consolas" w:cs="Consolas" w:eastAsia="Consolas" w:hAnsi="Consolas"/>
          <w:sz w:val="20"/>
          <w:szCs w:val="20"/>
        </w:rPr>
        <w:t xml:space="preserve">Slalom-Dev</w:t>
      </w:r>
      <w:r>
        <w:rPr>
          <w:rFonts w:ascii="Calibri" w:cs="Calibri" w:eastAsia="Calibri" w:hAnsi="Calibri"/>
          <w:sz w:val="21"/>
          <w:szCs w:val="21"/>
        </w:rPr>
        <w:t xml:space="preserve"> are all subject to §3.2.4 (no business-critical or long-running workloads) but none carries a documented purpose or classification today.</w:t>
      </w:r>
    </w:p>
    <w:p>
      <w:pPr>
        <w:pStyle w:val="Heading2"/>
        <w:spacing w:after="120" w:before="280"/>
      </w:pPr>
      <w:r>
        <w:rPr>
          <w:rFonts w:ascii="Calibri" w:cs="Calibri" w:eastAsia="Calibri" w:hAnsi="Calibri"/>
          <w:b/>
          <w:bCs/>
          <w:color w:val="2E5C8A"/>
          <w:sz w:val="24"/>
          <w:szCs w:val="24"/>
        </w:rPr>
        <w:t xml:space="preserve">11. Minor operational risk — two L2 account IDs share their first seven digits</w:t>
      </w:r>
    </w:p>
    <w:p>
      <w:pPr>
        <w:spacing w:after="120" w:before="0" w:line="276"/>
      </w:pPr>
      <w:r>
        <w:rPr>
          <w:rFonts w:ascii="Consolas" w:cs="Consolas" w:eastAsia="Consolas" w:hAnsi="Consolas"/>
          <w:sz w:val="20"/>
          <w:szCs w:val="20"/>
        </w:rPr>
        <w:t xml:space="preserve">L2-Development</w:t>
      </w:r>
      <w:r>
        <w:rPr>
          <w:rFonts w:ascii="Calibri" w:cs="Calibri" w:eastAsia="Calibri" w:hAnsi="Calibri"/>
          <w:sz w:val="21"/>
          <w:szCs w:val="21"/>
        </w:rPr>
        <w:t xml:space="preserve"> is 058264370150 and </w:t>
      </w:r>
      <w:r>
        <w:rPr>
          <w:rFonts w:ascii="Consolas" w:cs="Consolas" w:eastAsia="Consolas" w:hAnsi="Consolas"/>
          <w:sz w:val="20"/>
          <w:szCs w:val="20"/>
        </w:rPr>
        <w:t xml:space="preserve">L2-Pre-Prod</w:t>
      </w:r>
      <w:r>
        <w:rPr>
          <w:rFonts w:ascii="Calibri" w:cs="Calibri" w:eastAsia="Calibri" w:hAnsi="Calibri"/>
          <w:sz w:val="21"/>
          <w:szCs w:val="21"/>
        </w:rPr>
        <w:t xml:space="preserve"> is 058264307873. A transposition or copy-paste error between them targets an account that holds production data. Worth a guardrail in pipeline configuration or a note in the run books.</w:t>
      </w:r>
    </w:p>
    <w:p>
      <w:r>
        <w:br w:type="page"/>
      </w:r>
    </w:p>
    <w:p>
      <w:pPr>
        <w:pStyle w:val="Heading1"/>
        <w:pBdr>
          <w:bottom w:val="single" w:color="2E5C8A" w:sz="8" w:space="6"/>
        </w:pBdr>
        <w:spacing w:after="160" w:before="360"/>
      </w:pPr>
      <w:r>
        <w:rPr>
          <w:rFonts w:ascii="Calibri" w:cs="Calibri" w:eastAsia="Calibri" w:hAnsi="Calibri"/>
          <w:b/>
          <w:bCs/>
          <w:color w:val="1F3864"/>
          <w:sz w:val="30"/>
          <w:szCs w:val="30"/>
        </w:rPr>
        <w:t xml:space="preserve">Recommended Actions</w:t>
      </w:r>
    </w:p>
    <w:p>
      <w:pPr>
        <w:pStyle w:val="Heading2"/>
        <w:spacing w:after="120" w:before="280"/>
      </w:pPr>
      <w:r>
        <w:rPr>
          <w:rFonts w:ascii="Calibri" w:cs="Calibri" w:eastAsia="Calibri" w:hAnsi="Calibri"/>
          <w:b/>
          <w:bCs/>
          <w:color w:val="2E5C8A"/>
          <w:sz w:val="24"/>
          <w:szCs w:val="24"/>
        </w:rPr>
        <w:t xml:space="preserve">Immediate — unblocks the ticket</w:t>
      </w:r>
    </w:p>
    <w:p>
      <w:pPr>
        <w:pStyle w:val="ListParagraph"/>
        <w:numPr>
          <w:ilvl w:val="0"/>
          <w:numId w:val="3"/>
        </w:numPr>
        <w:spacing w:after="90" w:line="276"/>
      </w:pPr>
      <w:r>
        <w:rPr>
          <w:rFonts w:ascii="Calibri" w:cs="Calibri" w:eastAsia="Calibri" w:hAnsi="Calibri"/>
          <w:sz w:val="21"/>
          <w:szCs w:val="21"/>
        </w:rPr>
        <w:t xml:space="preserve">Confirm the six open items below, then publish the mapping table as the interim source of truth.</w:t>
      </w:r>
    </w:p>
    <w:p>
      <w:pPr>
        <w:pStyle w:val="ListParagraph"/>
        <w:numPr>
          <w:ilvl w:val="0"/>
          <w:numId w:val="3"/>
        </w:numPr>
        <w:spacing w:after="90" w:line="276"/>
      </w:pPr>
      <w:r>
        <w:rPr>
          <w:rFonts w:ascii="Calibri" w:cs="Calibri" w:eastAsia="Calibri" w:hAnsi="Calibri"/>
          <w:sz w:val="21"/>
          <w:szCs w:val="21"/>
        </w:rPr>
        <w:t xml:space="preserve">Rename the L1 workload accounts to carry the </w:t>
      </w:r>
      <w:r>
        <w:rPr>
          <w:rFonts w:ascii="Consolas" w:cs="Consolas" w:eastAsia="Consolas" w:hAnsi="Consolas"/>
          <w:sz w:val="20"/>
          <w:szCs w:val="20"/>
        </w:rPr>
        <w:t xml:space="preserve">L1-</w:t>
      </w:r>
      <w:r>
        <w:rPr>
          <w:rFonts w:ascii="Calibri" w:cs="Calibri" w:eastAsia="Calibri" w:hAnsi="Calibri"/>
          <w:sz w:val="21"/>
          <w:szCs w:val="21"/>
        </w:rPr>
        <w:t xml:space="preserve"> prefix (Finding 2). Cheapest single fix available, valid under any target model.</w:t>
      </w:r>
    </w:p>
    <w:p>
      <w:pPr>
        <w:pStyle w:val="Heading2"/>
        <w:spacing w:after="120" w:before="280"/>
      </w:pPr>
      <w:r>
        <w:rPr>
          <w:rFonts w:ascii="Calibri" w:cs="Calibri" w:eastAsia="Calibri" w:hAnsi="Calibri"/>
          <w:b/>
          <w:bCs/>
          <w:color w:val="2E5C8A"/>
          <w:sz w:val="24"/>
          <w:szCs w:val="24"/>
        </w:rPr>
        <w:t xml:space="preserve">Compliance</w:t>
      </w:r>
    </w:p>
    <w:p>
      <w:pPr>
        <w:pStyle w:val="ListParagraph"/>
        <w:numPr>
          <w:ilvl w:val="0"/>
          <w:numId w:val="3"/>
        </w:numPr>
        <w:spacing w:after="90" w:line="276"/>
      </w:pPr>
      <w:r>
        <w:rPr>
          <w:rFonts w:ascii="Calibri" w:cs="Calibri" w:eastAsia="Calibri" w:hAnsi="Calibri"/>
          <w:sz w:val="21"/>
          <w:szCs w:val="21"/>
        </w:rPr>
        <w:t xml:space="preserve">Raise a formal exception under §6 covering production data in </w:t>
      </w:r>
      <w:r>
        <w:rPr>
          <w:rFonts w:ascii="Consolas" w:cs="Consolas" w:eastAsia="Consolas" w:hAnsi="Consolas"/>
          <w:sz w:val="20"/>
          <w:szCs w:val="20"/>
        </w:rPr>
        <w:t xml:space="preserve">Pre-Production</w:t>
      </w:r>
      <w:r>
        <w:rPr>
          <w:rFonts w:ascii="Calibri" w:cs="Calibri" w:eastAsia="Calibri" w:hAnsi="Calibri"/>
          <w:sz w:val="21"/>
          <w:szCs w:val="21"/>
        </w:rPr>
        <w:t xml:space="preserve"> / </w:t>
      </w:r>
      <w:r>
        <w:rPr>
          <w:rFonts w:ascii="Consolas" w:cs="Consolas" w:eastAsia="Consolas" w:hAnsi="Consolas"/>
          <w:sz w:val="20"/>
          <w:szCs w:val="20"/>
        </w:rPr>
        <w:t xml:space="preserve">L2-Pre-Prod</w:t>
      </w:r>
      <w:r>
        <w:rPr>
          <w:rFonts w:ascii="Calibri" w:cs="Calibri" w:eastAsia="Calibri" w:hAnsi="Calibri"/>
          <w:sz w:val="21"/>
          <w:szCs w:val="21"/>
        </w:rPr>
        <w:t xml:space="preserve">, with scope, risk, duration, and exit plan.</w:t>
      </w:r>
    </w:p>
    <w:p>
      <w:pPr>
        <w:pStyle w:val="ListParagraph"/>
        <w:numPr>
          <w:ilvl w:val="0"/>
          <w:numId w:val="3"/>
        </w:numPr>
        <w:spacing w:after="90" w:line="276"/>
      </w:pPr>
      <w:r>
        <w:rPr>
          <w:rFonts w:ascii="Calibri" w:cs="Calibri" w:eastAsia="Calibri" w:hAnsi="Calibri"/>
          <w:sz w:val="21"/>
          <w:szCs w:val="21"/>
        </w:rPr>
        <w:t xml:space="preserve">Add a "contains production data" attribute to the account model, so Perf, MPT, and (pending confirmation) </w:t>
      </w:r>
      <w:r>
        <w:rPr>
          <w:rFonts w:ascii="Consolas" w:cs="Consolas" w:eastAsia="Consolas" w:hAnsi="Consolas"/>
          <w:sz w:val="20"/>
          <w:szCs w:val="20"/>
        </w:rPr>
        <w:t xml:space="preserve">KFB-Reporting</w:t>
      </w:r>
      <w:r>
        <w:rPr>
          <w:rFonts w:ascii="Calibri" w:cs="Calibri" w:eastAsia="Calibri" w:hAnsi="Calibri"/>
          <w:sz w:val="21"/>
          <w:szCs w:val="21"/>
        </w:rPr>
        <w:t xml:space="preserve"> inherit production-grade controls regardless of their lifecycle label.</w:t>
      </w:r>
    </w:p>
    <w:p>
      <w:pPr>
        <w:pStyle w:val="ListParagraph"/>
        <w:numPr>
          <w:ilvl w:val="0"/>
          <w:numId w:val="3"/>
        </w:numPr>
        <w:spacing w:after="90" w:line="276"/>
      </w:pPr>
      <w:r>
        <w:rPr>
          <w:rFonts w:ascii="Calibri" w:cs="Calibri" w:eastAsia="Calibri" w:hAnsi="Calibri"/>
          <w:sz w:val="21"/>
          <w:szCs w:val="21"/>
        </w:rPr>
        <w:t xml:space="preserve">Resolve the </w:t>
      </w:r>
      <w:r>
        <w:rPr>
          <w:rFonts w:ascii="Calibri" w:cs="Calibri" w:eastAsia="Calibri" w:hAnsi="Calibri"/>
          <w:i/>
          <w:iCs/>
          <w:sz w:val="21"/>
          <w:szCs w:val="21"/>
        </w:rPr>
        <w:t xml:space="preserve">production use</w:t>
      </w:r>
      <w:r>
        <w:rPr>
          <w:rFonts w:ascii="Calibri" w:cs="Calibri" w:eastAsia="Calibri" w:hAnsi="Calibri"/>
          <w:sz w:val="21"/>
          <w:szCs w:val="21"/>
        </w:rPr>
        <w:t xml:space="preserve"> vs. </w:t>
      </w:r>
      <w:r>
        <w:rPr>
          <w:rFonts w:ascii="Calibri" w:cs="Calibri" w:eastAsia="Calibri" w:hAnsi="Calibri"/>
          <w:i/>
          <w:iCs/>
          <w:sz w:val="21"/>
          <w:szCs w:val="21"/>
        </w:rPr>
        <w:t xml:space="preserve">production data</w:t>
      </w:r>
      <w:r>
        <w:rPr>
          <w:rFonts w:ascii="Calibri" w:cs="Calibri" w:eastAsia="Calibri" w:hAnsi="Calibri"/>
          <w:sz w:val="21"/>
          <w:szCs w:val="21"/>
        </w:rPr>
        <w:t xml:space="preserve"> definition in the Standard.</w:t>
      </w:r>
    </w:p>
    <w:p>
      <w:pPr>
        <w:pStyle w:val="ListParagraph"/>
        <w:numPr>
          <w:ilvl w:val="0"/>
          <w:numId w:val="3"/>
        </w:numPr>
        <w:spacing w:after="90" w:line="276"/>
      </w:pPr>
      <w:r>
        <w:rPr>
          <w:rFonts w:ascii="Calibri" w:cs="Calibri" w:eastAsia="Calibri" w:hAnsi="Calibri"/>
          <w:sz w:val="21"/>
          <w:szCs w:val="21"/>
        </w:rPr>
        <w:t xml:space="preserve">Add </w:t>
      </w:r>
      <w:r>
        <w:rPr>
          <w:rFonts w:ascii="Calibri" w:cs="Calibri" w:eastAsia="Calibri" w:hAnsi="Calibri"/>
          <w:b/>
          <w:bCs/>
          <w:sz w:val="21"/>
          <w:szCs w:val="21"/>
        </w:rPr>
        <w:t xml:space="preserve">management/payer</w:t>
      </w:r>
      <w:r>
        <w:rPr>
          <w:rFonts w:ascii="Calibri" w:cs="Calibri" w:eastAsia="Calibri" w:hAnsi="Calibri"/>
          <w:sz w:val="21"/>
          <w:szCs w:val="21"/>
        </w:rPr>
        <w:t xml:space="preserve"> and </w:t>
      </w:r>
      <w:r>
        <w:rPr>
          <w:rFonts w:ascii="Calibri" w:cs="Calibri" w:eastAsia="Calibri" w:hAnsi="Calibri"/>
          <w:b/>
          <w:bCs/>
          <w:sz w:val="21"/>
          <w:szCs w:val="21"/>
        </w:rPr>
        <w:t xml:space="preserve">disaster recovery</w:t>
      </w:r>
      <w:r>
        <w:rPr>
          <w:rFonts w:ascii="Calibri" w:cs="Calibri" w:eastAsia="Calibri" w:hAnsi="Calibri"/>
          <w:sz w:val="21"/>
          <w:szCs w:val="21"/>
        </w:rPr>
        <w:t xml:space="preserve"> to the §3.1.1 approved type list.</w:t>
      </w:r>
    </w:p>
    <w:p>
      <w:pPr>
        <w:pStyle w:val="ListParagraph"/>
        <w:numPr>
          <w:ilvl w:val="0"/>
          <w:numId w:val="3"/>
        </w:numPr>
        <w:spacing w:after="90" w:line="276"/>
      </w:pPr>
      <w:r>
        <w:rPr>
          <w:rFonts w:ascii="Calibri" w:cs="Calibri" w:eastAsia="Calibri" w:hAnsi="Calibri"/>
          <w:sz w:val="21"/>
          <w:szCs w:val="21"/>
        </w:rPr>
        <w:t xml:space="preserve">Document purpose and classification for </w:t>
      </w:r>
      <w:r>
        <w:rPr>
          <w:rFonts w:ascii="Consolas" w:cs="Consolas" w:eastAsia="Consolas" w:hAnsi="Consolas"/>
          <w:sz w:val="20"/>
          <w:szCs w:val="20"/>
        </w:rPr>
        <w:t xml:space="preserve">Clients</w:t>
      </w:r>
      <w:r>
        <w:rPr>
          <w:rFonts w:ascii="Calibri" w:cs="Calibri" w:eastAsia="Calibri" w:hAnsi="Calibri"/>
          <w:sz w:val="21"/>
          <w:szCs w:val="21"/>
        </w:rPr>
        <w:t xml:space="preserve">, </w:t>
      </w:r>
      <w:r>
        <w:rPr>
          <w:rFonts w:ascii="Consolas" w:cs="Consolas" w:eastAsia="Consolas" w:hAnsi="Consolas"/>
          <w:sz w:val="20"/>
          <w:szCs w:val="20"/>
        </w:rPr>
        <w:t xml:space="preserve">KFB-Reporting</w:t>
      </w:r>
      <w:r>
        <w:rPr>
          <w:rFonts w:ascii="Calibri" w:cs="Calibri" w:eastAsia="Calibri" w:hAnsi="Calibri"/>
          <w:sz w:val="21"/>
          <w:szCs w:val="21"/>
        </w:rPr>
        <w:t xml:space="preserve">, </w:t>
      </w:r>
      <w:r>
        <w:rPr>
          <w:rFonts w:ascii="Consolas" w:cs="Consolas" w:eastAsia="Consolas" w:hAnsi="Consolas"/>
          <w:sz w:val="20"/>
          <w:szCs w:val="20"/>
        </w:rPr>
        <w:t xml:space="preserve">Slalom-Dev</w:t>
      </w:r>
      <w:r>
        <w:rPr>
          <w:rFonts w:ascii="Calibri" w:cs="Calibri" w:eastAsia="Calibri" w:hAnsi="Calibri"/>
          <w:sz w:val="21"/>
          <w:szCs w:val="21"/>
        </w:rPr>
        <w:t xml:space="preserve">, </w:t>
      </w:r>
      <w:r>
        <w:rPr>
          <w:rFonts w:ascii="Consolas" w:cs="Consolas" w:eastAsia="Consolas" w:hAnsi="Consolas"/>
          <w:sz w:val="20"/>
          <w:szCs w:val="20"/>
        </w:rPr>
        <w:t xml:space="preserve">Local-Dev</w:t>
      </w:r>
      <w:r>
        <w:rPr>
          <w:rFonts w:ascii="Calibri" w:cs="Calibri" w:eastAsia="Calibri" w:hAnsi="Calibri"/>
          <w:sz w:val="21"/>
          <w:szCs w:val="21"/>
        </w:rPr>
        <w:t xml:space="preserve">, and the </w:t>
      </w:r>
      <w:r>
        <w:rPr>
          <w:rFonts w:ascii="Consolas" w:cs="Consolas" w:eastAsia="Consolas" w:hAnsi="Consolas"/>
          <w:sz w:val="20"/>
          <w:szCs w:val="20"/>
        </w:rPr>
        <w:t xml:space="preserve">TFRepository</w:t>
      </w:r>
      <w:r>
        <w:rPr>
          <w:rFonts w:ascii="Calibri" w:cs="Calibri" w:eastAsia="Calibri" w:hAnsi="Calibri"/>
          <w:sz w:val="21"/>
          <w:szCs w:val="21"/>
        </w:rPr>
        <w:t xml:space="preserve"> / </w:t>
      </w:r>
      <w:r>
        <w:rPr>
          <w:rFonts w:ascii="Consolas" w:cs="Consolas" w:eastAsia="Consolas" w:hAnsi="Consolas"/>
          <w:sz w:val="20"/>
          <w:szCs w:val="20"/>
        </w:rPr>
        <w:t xml:space="preserve">KFB-Terraform-Modules</w:t>
      </w:r>
      <w:r>
        <w:rPr>
          <w:rFonts w:ascii="Calibri" w:cs="Calibri" w:eastAsia="Calibri" w:hAnsi="Calibri"/>
          <w:sz w:val="21"/>
          <w:szCs w:val="21"/>
        </w:rPr>
        <w:t xml:space="preserve"> split.</w:t>
      </w:r>
    </w:p>
    <w:p>
      <w:pPr>
        <w:pStyle w:val="ListParagraph"/>
        <w:numPr>
          <w:ilvl w:val="0"/>
          <w:numId w:val="3"/>
        </w:numPr>
        <w:spacing w:after="90" w:line="276"/>
      </w:pPr>
      <w:r>
        <w:rPr>
          <w:rFonts w:ascii="Calibri" w:cs="Calibri" w:eastAsia="Calibri" w:hAnsi="Calibri"/>
          <w:sz w:val="21"/>
          <w:szCs w:val="21"/>
        </w:rPr>
        <w:t xml:space="preserve">Assign an owner of record for </w:t>
      </w:r>
      <w:r>
        <w:rPr>
          <w:rFonts w:ascii="Consolas" w:cs="Consolas" w:eastAsia="Consolas" w:hAnsi="Consolas"/>
          <w:sz w:val="20"/>
          <w:szCs w:val="20"/>
        </w:rPr>
        <w:t xml:space="preserve">Slalom-Dev</w:t>
      </w:r>
      <w:r>
        <w:rPr>
          <w:rFonts w:ascii="Calibri" w:cs="Calibri" w:eastAsia="Calibri" w:hAnsi="Calibri"/>
          <w:sz w:val="21"/>
          <w:szCs w:val="21"/>
        </w:rPr>
        <w:t xml:space="preserve"> or decommission it.</w:t>
      </w:r>
    </w:p>
    <w:p>
      <w:pPr>
        <w:pStyle w:val="Heading2"/>
        <w:spacing w:after="120" w:before="280"/>
      </w:pPr>
      <w:r>
        <w:rPr>
          <w:rFonts w:ascii="Calibri" w:cs="Calibri" w:eastAsia="Calibri" w:hAnsi="Calibri"/>
          <w:b/>
          <w:bCs/>
          <w:color w:val="2E5C8A"/>
          <w:sz w:val="24"/>
          <w:szCs w:val="24"/>
        </w:rPr>
        <w:t xml:space="preserve">Structural</w:t>
      </w:r>
    </w:p>
    <w:p>
      <w:pPr>
        <w:pStyle w:val="ListParagraph"/>
        <w:numPr>
          <w:ilvl w:val="0"/>
          <w:numId w:val="3"/>
        </w:numPr>
        <w:spacing w:after="90" w:line="276"/>
      </w:pPr>
      <w:r>
        <w:rPr>
          <w:rFonts w:ascii="Calibri" w:cs="Calibri" w:eastAsia="Calibri" w:hAnsi="Calibri"/>
          <w:sz w:val="21"/>
          <w:szCs w:val="21"/>
        </w:rPr>
        <w:t xml:space="preserve">Decide the target model — (A) collapse to non-prod / pre-prod / prod + shared; (B) one account per environment; or (C) retain the current structure and formally define what differentiates each L2 account. Option C is only viable if real boundaries are defined and enforced — otherwise A or B.</w:t>
      </w:r>
    </w:p>
    <w:p>
      <w:pPr>
        <w:pStyle w:val="ListParagraph"/>
        <w:numPr>
          <w:ilvl w:val="0"/>
          <w:numId w:val="3"/>
        </w:numPr>
        <w:spacing w:after="90" w:line="276"/>
      </w:pPr>
      <w:r>
        <w:rPr>
          <w:rFonts w:ascii="Calibri" w:cs="Calibri" w:eastAsia="Calibri" w:hAnsi="Calibri"/>
          <w:sz w:val="21"/>
          <w:szCs w:val="21"/>
        </w:rPr>
        <w:t xml:space="preserve">Recover or formally retire the L2 entry criteria (Finding 3).</w:t>
      </w:r>
    </w:p>
    <w:p>
      <w:pPr>
        <w:pStyle w:val="ListParagraph"/>
        <w:numPr>
          <w:ilvl w:val="0"/>
          <w:numId w:val="3"/>
        </w:numPr>
        <w:spacing w:after="90" w:line="276"/>
      </w:pPr>
      <w:r>
        <w:rPr>
          <w:rFonts w:ascii="Calibri" w:cs="Calibri" w:eastAsia="Calibri" w:hAnsi="Calibri"/>
          <w:sz w:val="21"/>
          <w:szCs w:val="21"/>
        </w:rPr>
        <w:t xml:space="preserve">Populate the New Environment Request Jira form’s environment dropdown from the confirmed environment list, so intake stays synchronized with account structure.</w:t>
      </w:r>
    </w:p>
    <w:p>
      <w:pPr>
        <w:pStyle w:val="Heading1"/>
        <w:pBdr>
          <w:bottom w:val="single" w:color="2E5C8A" w:sz="8" w:space="6"/>
        </w:pBdr>
        <w:spacing w:after="160" w:before="360"/>
      </w:pPr>
      <w:r>
        <w:rPr>
          <w:rFonts w:ascii="Calibri" w:cs="Calibri" w:eastAsia="Calibri" w:hAnsi="Calibri"/>
          <w:b/>
          <w:bCs/>
          <w:color w:val="1F3864"/>
          <w:sz w:val="30"/>
          <w:szCs w:val="30"/>
        </w:rPr>
        <w:t xml:space="preserve">Open Items — Required Before Publishing as Authoritative</w:t>
      </w:r>
    </w:p>
    <w:tbl>
      <w:tblPr>
        <w:tblW w:type="dxa" w:w="9360"/>
        <w:tblBorders>
          <w:top w:val="single" w:color="C9D3DF" w:sz="4"/>
          <w:left w:val="single" w:color="C9D3DF" w:sz="4"/>
          <w:bottom w:val="single" w:color="C9D3DF" w:sz="4"/>
          <w:right w:val="single" w:color="C9D3DF" w:sz="4"/>
          <w:insideH w:val="single" w:color="DDE4EC" w:sz="2"/>
          <w:insideV w:val="single" w:color="DDE4EC" w:sz="2"/>
        </w:tblBorders>
      </w:tblPr>
      <w:tblGrid>
        <w:gridCol w:w="520"/>
        <w:gridCol w:w="4300"/>
        <w:gridCol w:w="4540"/>
      </w:tblGrid>
      <w:tr>
        <w:trPr>
          <w:tblHeader/>
        </w:trPr>
        <w:tc>
          <w:tcPr>
            <w:tcW w:type="dxa" w:w="52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w:t>
            </w:r>
          </w:p>
        </w:tc>
        <w:tc>
          <w:tcPr>
            <w:tcW w:type="dxa" w:w="430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Item</w:t>
            </w:r>
          </w:p>
        </w:tc>
        <w:tc>
          <w:tcPr>
            <w:tcW w:type="dxa" w:w="4540"/>
            <w:shd w:fill="E8EDF3" w:color="auto" w:val="clear"/>
            <w:tcMar>
              <w:top w:type="dxa" w:w="80"/>
              <w:left w:type="dxa" w:w="110"/>
              <w:bottom w:type="dxa" w:w="80"/>
              <w:right w:type="dxa" w:w="110"/>
            </w:tcMar>
          </w:tcPr>
          <w:p>
            <w:pPr>
              <w:spacing w:after="0" w:before="0"/>
            </w:pPr>
            <w:r>
              <w:rPr>
                <w:rFonts w:ascii="Calibri" w:cs="Calibri" w:eastAsia="Calibri" w:hAnsi="Calibri"/>
                <w:b/>
                <w:bCs/>
                <w:color w:val="1F3864"/>
                <w:sz w:val="19"/>
                <w:szCs w:val="19"/>
              </w:rPr>
              <w:t xml:space="preserve">Why it blocks</w:t>
            </w:r>
          </w:p>
        </w:tc>
      </w:tr>
      <w:tr>
        <w:trPr>
          <w:cantSplit/>
        </w:trPr>
        <w:tc>
          <w:tcPr>
            <w:tcW w:type="dxa" w:w="520"/>
            <w:tcMar>
              <w:top w:type="dxa" w:w="70"/>
              <w:left w:type="dxa" w:w="110"/>
              <w:bottom w:type="dxa" w:w="70"/>
              <w:right w:type="dxa" w:w="110"/>
            </w:tcMar>
          </w:tcPr>
          <w:p>
            <w:pPr>
              <w:spacing w:after="0" w:before="0" w:line="240"/>
            </w:pPr>
            <w:r>
              <w:rPr>
                <w:rFonts w:ascii="Calibri" w:cs="Calibri" w:eastAsia="Calibri" w:hAnsi="Calibri"/>
                <w:sz w:val="19"/>
                <w:szCs w:val="19"/>
              </w:rPr>
              <w:t xml:space="preserve">1</w:t>
            </w:r>
          </w:p>
        </w:tc>
        <w:tc>
          <w:tcPr>
            <w:tcW w:type="dxa" w:w="4300"/>
            <w:tcMar>
              <w:top w:type="dxa" w:w="70"/>
              <w:left w:type="dxa" w:w="110"/>
              <w:bottom w:type="dxa" w:w="70"/>
              <w:right w:type="dxa" w:w="110"/>
            </w:tcMar>
          </w:tcPr>
          <w:p>
            <w:pPr>
              <w:spacing w:after="0" w:before="0" w:line="240"/>
            </w:pPr>
            <w:r>
              <w:rPr>
                <w:rFonts w:ascii="Calibri" w:cs="Calibri" w:eastAsia="Calibri" w:hAnsi="Calibri"/>
                <w:b/>
                <w:bCs/>
                <w:sz w:val="19"/>
                <w:szCs w:val="19"/>
              </w:rPr>
              <w:t xml:space="preserve">Staging vs. Perf vs. MPT</w:t>
            </w:r>
            <w:r>
              <w:rPr>
                <w:rFonts w:ascii="Calibri" w:cs="Calibri" w:eastAsia="Calibri" w:hAnsi="Calibri"/>
                <w:sz w:val="19"/>
                <w:szCs w:val="19"/>
              </w:rPr>
              <w:t xml:space="preserve"> — is Staging a distinct third pre-prod environment, or another name for one of the other two?</w:t>
            </w:r>
          </w:p>
        </w:tc>
        <w:tc>
          <w:tcPr>
            <w:tcW w:type="dxa" w:w="4540"/>
            <w:tcMar>
              <w:top w:type="dxa" w:w="70"/>
              <w:left w:type="dxa" w:w="110"/>
              <w:bottom w:type="dxa" w:w="70"/>
              <w:right w:type="dxa" w:w="110"/>
            </w:tcMar>
          </w:tcPr>
          <w:p>
            <w:pPr>
              <w:spacing w:after="0" w:before="0" w:line="240"/>
            </w:pPr>
            <w:r>
              <w:rPr>
                <w:rFonts w:ascii="Calibri" w:cs="Calibri" w:eastAsia="Calibri" w:hAnsi="Calibri"/>
                <w:sz w:val="19"/>
                <w:szCs w:val="19"/>
              </w:rPr>
              <w:t xml:space="preserve">Determines whether Staging carries production data. Changes the risk profile of the mapping table.</w:t>
            </w:r>
          </w:p>
        </w:tc>
      </w:tr>
      <w:tr>
        <w:trPr>
          <w:cantSplit/>
        </w:trPr>
        <w:tc>
          <w:tcPr>
            <w:tcW w:type="dxa" w:w="52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2</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b/>
                <w:bCs/>
                <w:sz w:val="19"/>
                <w:szCs w:val="19"/>
              </w:rPr>
              <w:t xml:space="preserve">Exact name of MPT / NPT</w:t>
            </w:r>
            <w:r>
              <w:rPr>
                <w:rFonts w:ascii="Calibri" w:cs="Calibri" w:eastAsia="Calibri" w:hAnsi="Calibri"/>
                <w:sz w:val="19"/>
                <w:szCs w:val="19"/>
              </w:rPr>
              <w:t xml:space="preserve"> and its stated purpose</w:t>
            </w:r>
          </w:p>
        </w:tc>
        <w:tc>
          <w:tcPr>
            <w:tcW w:type="dxa" w:w="454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Appears under several spellings in source material; needs one canonical name.</w:t>
            </w:r>
          </w:p>
        </w:tc>
      </w:tr>
      <w:tr>
        <w:trPr>
          <w:cantSplit/>
        </w:trPr>
        <w:tc>
          <w:tcPr>
            <w:tcW w:type="dxa" w:w="520"/>
            <w:tcMar>
              <w:top w:type="dxa" w:w="70"/>
              <w:left w:type="dxa" w:w="110"/>
              <w:bottom w:type="dxa" w:w="70"/>
              <w:right w:type="dxa" w:w="110"/>
            </w:tcMar>
          </w:tcPr>
          <w:p>
            <w:pPr>
              <w:spacing w:after="0" w:before="0" w:line="240"/>
            </w:pPr>
            <w:r>
              <w:rPr>
                <w:rFonts w:ascii="Calibri" w:cs="Calibri" w:eastAsia="Calibri" w:hAnsi="Calibri"/>
                <w:sz w:val="19"/>
                <w:szCs w:val="19"/>
              </w:rPr>
              <w:t xml:space="preserve">3</w:t>
            </w:r>
          </w:p>
        </w:tc>
        <w:tc>
          <w:tcPr>
            <w:tcW w:type="dxa" w:w="4300"/>
            <w:tcMar>
              <w:top w:type="dxa" w:w="70"/>
              <w:left w:type="dxa" w:w="110"/>
              <w:bottom w:type="dxa" w:w="70"/>
              <w:right w:type="dxa" w:w="110"/>
            </w:tcMar>
          </w:tcPr>
          <w:p>
            <w:pPr>
              <w:spacing w:after="0" w:before="0" w:line="240"/>
            </w:pPr>
            <w:r>
              <w:rPr>
                <w:rFonts w:ascii="Calibri" w:cs="Calibri" w:eastAsia="Calibri" w:hAnsi="Calibri"/>
                <w:b/>
                <w:bCs/>
                <w:sz w:val="19"/>
                <w:szCs w:val="19"/>
              </w:rPr>
              <w:t xml:space="preserve">IT Release Mgmt environment sheet</w:t>
            </w:r>
            <w:r>
              <w:rPr>
                <w:rFonts w:ascii="Calibri" w:cs="Calibri" w:eastAsia="Calibri" w:hAnsi="Calibri"/>
                <w:sz w:val="19"/>
                <w:szCs w:val="19"/>
              </w:rPr>
              <w:t xml:space="preserve"> (linked in ticket)</w:t>
            </w:r>
          </w:p>
        </w:tc>
        <w:tc>
          <w:tcPr>
            <w:tcW w:type="dxa" w:w="4540"/>
            <w:tcMar>
              <w:top w:type="dxa" w:w="70"/>
              <w:left w:type="dxa" w:w="110"/>
              <w:bottom w:type="dxa" w:w="70"/>
              <w:right w:type="dxa" w:w="110"/>
            </w:tcMar>
          </w:tcPr>
          <w:p>
            <w:pPr>
              <w:spacing w:after="0" w:before="0" w:line="240"/>
            </w:pPr>
            <w:r>
              <w:rPr>
                <w:rFonts w:ascii="Calibri" w:cs="Calibri" w:eastAsia="Calibri" w:hAnsi="Calibri"/>
                <w:sz w:val="19"/>
                <w:szCs w:val="19"/>
              </w:rPr>
              <w:t xml:space="preserve">Authoritative environment list; validates the left column of the mapping table.</w:t>
            </w:r>
          </w:p>
        </w:tc>
      </w:tr>
      <w:tr>
        <w:trPr>
          <w:cantSplit/>
        </w:trPr>
        <w:tc>
          <w:tcPr>
            <w:tcW w:type="dxa" w:w="52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4</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b/>
                <w:bCs/>
                <w:sz w:val="19"/>
                <w:szCs w:val="19"/>
              </w:rPr>
              <w:t xml:space="preserve">Dan Bruce’s SharePoint site / spreadsheet</w:t>
            </w:r>
            <w:r>
              <w:rPr>
                <w:rFonts w:ascii="Calibri" w:cs="Calibri" w:eastAsia="Calibri" w:hAnsi="Calibri"/>
                <w:sz w:val="19"/>
                <w:szCs w:val="19"/>
              </w:rPr>
              <w:t xml:space="preserve"> — environment to data / Mainframe region mapping</w:t>
            </w:r>
          </w:p>
        </w:tc>
        <w:tc>
          <w:tcPr>
            <w:tcW w:type="dxa" w:w="454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The existing de facto source of truth for which environments hold production data.</w:t>
            </w:r>
          </w:p>
        </w:tc>
      </w:tr>
      <w:tr>
        <w:trPr>
          <w:cantSplit/>
        </w:trPr>
        <w:tc>
          <w:tcPr>
            <w:tcW w:type="dxa" w:w="520"/>
            <w:tcMar>
              <w:top w:type="dxa" w:w="70"/>
              <w:left w:type="dxa" w:w="110"/>
              <w:bottom w:type="dxa" w:w="70"/>
              <w:right w:type="dxa" w:w="110"/>
            </w:tcMar>
          </w:tcPr>
          <w:p>
            <w:pPr>
              <w:spacing w:after="0" w:before="0" w:line="240"/>
            </w:pPr>
            <w:r>
              <w:rPr>
                <w:rFonts w:ascii="Calibri" w:cs="Calibri" w:eastAsia="Calibri" w:hAnsi="Calibri"/>
                <w:sz w:val="19"/>
                <w:szCs w:val="19"/>
              </w:rPr>
              <w:t xml:space="preserve">5</w:t>
            </w:r>
          </w:p>
        </w:tc>
        <w:tc>
          <w:tcPr>
            <w:tcW w:type="dxa" w:w="4300"/>
            <w:tcMar>
              <w:top w:type="dxa" w:w="70"/>
              <w:left w:type="dxa" w:w="110"/>
              <w:bottom w:type="dxa" w:w="70"/>
              <w:right w:type="dxa" w:w="110"/>
            </w:tcMar>
          </w:tcPr>
          <w:p>
            <w:pPr>
              <w:spacing w:after="0" w:before="0" w:line="240"/>
            </w:pPr>
            <w:r>
              <w:rPr>
                <w:rFonts w:ascii="Calibri" w:cs="Calibri" w:eastAsia="Calibri" w:hAnsi="Calibri"/>
                <w:b/>
                <w:bCs/>
                <w:sz w:val="19"/>
                <w:szCs w:val="19"/>
              </w:rPr>
              <w:t xml:space="preserve">AWS Organization and OU Structure Standard</w:t>
            </w:r>
            <w:r>
              <w:rPr>
                <w:rFonts w:ascii="Calibri" w:cs="Calibri" w:eastAsia="Calibri" w:hAnsi="Calibri"/>
                <w:sz w:val="19"/>
                <w:szCs w:val="19"/>
              </w:rPr>
              <w:t xml:space="preserve"> plus the actual OU tree</w:t>
            </w:r>
          </w:p>
        </w:tc>
        <w:tc>
          <w:tcPr>
            <w:tcW w:type="dxa" w:w="4540"/>
            <w:tcMar>
              <w:top w:type="dxa" w:w="70"/>
              <w:left w:type="dxa" w:w="110"/>
              <w:bottom w:type="dxa" w:w="70"/>
              <w:right w:type="dxa" w:w="110"/>
            </w:tcMar>
          </w:tcPr>
          <w:p>
            <w:pPr>
              <w:spacing w:after="0" w:before="0" w:line="240"/>
            </w:pPr>
            <w:r>
              <w:rPr>
                <w:rFonts w:ascii="Calibri" w:cs="Calibri" w:eastAsia="Calibri" w:hAnsi="Calibri"/>
                <w:sz w:val="19"/>
                <w:szCs w:val="19"/>
              </w:rPr>
              <w:t xml:space="preserve">Confirms whether the OU hierarchy matches the L1/L2 + lifecycle model asserted here.</w:t>
            </w:r>
          </w:p>
        </w:tc>
      </w:tr>
      <w:tr>
        <w:trPr>
          <w:cantSplit/>
        </w:trPr>
        <w:tc>
          <w:tcPr>
            <w:tcW w:type="dxa" w:w="52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6</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Run </w:t>
            </w:r>
            <w:r>
              <w:rPr>
                <w:rFonts w:ascii="Consolas" w:cs="Consolas" w:eastAsia="Consolas" w:hAnsi="Consolas"/>
                <w:sz w:val="18"/>
                <w:szCs w:val="18"/>
              </w:rPr>
              <w:t xml:space="preserve">aws organizations list-accounts</w:t>
            </w:r>
            <w:r>
              <w:rPr>
                <w:rFonts w:ascii="Calibri" w:cs="Calibri" w:eastAsia="Calibri" w:hAnsi="Calibri"/>
                <w:sz w:val="19"/>
                <w:szCs w:val="19"/>
              </w:rPr>
              <w:t xml:space="preserve"> from the management account</w:t>
            </w:r>
          </w:p>
        </w:tc>
        <w:tc>
          <w:tcPr>
            <w:tcW w:type="dxa" w:w="4540"/>
            <w:shd w:fill="F7F9FB" w:color="auto" w:val="clear"/>
            <w:tcMar>
              <w:top w:type="dxa" w:w="70"/>
              <w:left w:type="dxa" w:w="110"/>
              <w:bottom w:type="dxa" w:w="70"/>
              <w:right w:type="dxa" w:w="110"/>
            </w:tcMar>
          </w:tcPr>
          <w:p>
            <w:pPr>
              <w:spacing w:after="0" w:before="0" w:line="240"/>
            </w:pPr>
            <w:r>
              <w:rPr>
                <w:rFonts w:ascii="Calibri" w:cs="Calibri" w:eastAsia="Calibri" w:hAnsi="Calibri"/>
                <w:sz w:val="19"/>
                <w:szCs w:val="19"/>
              </w:rPr>
              <w:t xml:space="preserve">Confirms 24 is the complete count and resolves whether an Audit account and production DR account exist but are access-restricted.</w:t>
            </w:r>
          </w:p>
        </w:tc>
      </w:tr>
    </w:tbl>
    <w:p>
      <w:pPr>
        <w:spacing w:after="160"/>
      </w:pPr>
      <w:r>
        <w:t xml:space="preserve"/>
      </w:r>
    </w:p>
    <w:p>
      <w:pPr>
        <w:spacing w:after="120" w:before="0" w:line="276"/>
      </w:pPr>
      <w:r>
        <w:rPr>
          <w:rFonts w:ascii="Calibri" w:cs="Calibri" w:eastAsia="Calibri" w:hAnsi="Calibri"/>
          <w:sz w:val="21"/>
          <w:szCs w:val="21"/>
        </w:rPr>
        <w:t xml:space="preserve">Items 1, 3, and 4 are the ones that would actually change the mapping table. Items 5 and 6 confirm it. Item 2 is cosmetic but should be settled before the table is circulated.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Findings: AWS Account to KFB Environment Mapping</dc:title>
  <dc:creator>Cloud Platform</dc:creator>
  <dc:description>Evaluation of the existing AWS account estate against KFB environment naming</dc:description>
  <cp:lastModifiedBy>Un-named</cp:lastModifiedBy>
  <cp:revision>1</cp:revision>
  <dcterms:created xsi:type="dcterms:W3CDTF">2026-08-27T02:06:51.144Z</dcterms:created>
  <dcterms:modified xsi:type="dcterms:W3CDTF">2026-08-27T02:06:51.145Z</dcterms:modified>
</cp:coreProperties>
</file>

<file path=docProps/custom.xml><?xml version="1.0" encoding="utf-8"?>
<Properties xmlns="http://schemas.openxmlformats.org/officeDocument/2006/custom-properties" xmlns:vt="http://schemas.openxmlformats.org/officeDocument/2006/docPropsVTypes"/>
</file>