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6B7B92"/>
          <w:spacing w:val="40"/>
          <w:sz w:val="20"/>
          <w:szCs w:val="20"/>
        </w:rPr>
        <w:t xml:space="preserve">TECHNICAL DESIGN REVIEW</w:t>
      </w:r>
    </w:p>
    <w:p>
      <w:pPr>
        <w:pBdr>
          <w:bottom w:val="single" w:color="1F3864" w:sz="12"/>
        </w:pBdr>
        <w:spacing w:after="0" w:before="160"/>
      </w:pPr>
      <w:r>
        <w:rPr>
          <w:b/>
          <w:bCs/>
          <w:color w:val="1F3864"/>
          <w:sz w:val="44"/>
          <w:szCs w:val="44"/>
        </w:rPr>
        <w:t xml:space="preserve">AWS Message Synchronization Framework</w:t>
      </w:r>
    </w:p>
    <w:p>
      <w:pPr>
        <w:spacing w:after="700" w:before="200"/>
      </w:pPr>
      <w:r>
        <w:rPr>
          <w:color w:val="44546A"/>
          <w:sz w:val="26"/>
          <w:szCs w:val="26"/>
        </w:rPr>
        <w:t xml:space="preserve">Architecture assessment and revised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864" w:val="clear"/>
            <w:tcMar>
              <w:top w:type="dxa" w:w="90"/>
              <w:left w:type="dxa" w:w="110"/>
              <w:bottom w:type="dxa" w:w="90"/>
              <w:right w:type="dxa" w:w="110"/>
            </w:tcMar>
          </w:tcPr>
          <w:p>
            <w:r>
              <w:rPr>
                <w:b/>
                <w:bCs/>
                <w:color w:val="FFFFFF"/>
                <w:sz w:val="19"/>
                <w:szCs w:val="19"/>
              </w:rPr>
              <w:t xml:space="preserve">Field</w:t>
            </w:r>
          </w:p>
        </w:tc>
        <w:tc>
          <w:tcPr>
            <w:tcW w:type="dxa" w:w="7360"/>
            <w:shd w:fill="1F3864" w:val="clear"/>
            <w:tcMar>
              <w:top w:type="dxa" w:w="90"/>
              <w:left w:type="dxa" w:w="110"/>
              <w:bottom w:type="dxa" w:w="90"/>
              <w:right w:type="dxa" w:w="110"/>
            </w:tcMar>
          </w:tcPr>
          <w:p>
            <w:r>
              <w:rPr>
                <w:b/>
                <w:bCs/>
                <w:color w:val="FFFFFF"/>
                <w:sz w:val="19"/>
                <w:szCs w:val="19"/>
              </w:rPr>
              <w:t xml:space="preserve">Value</w:t>
            </w:r>
          </w:p>
        </w:tc>
      </w:tr>
      <w:tr>
        <w:tc>
          <w:tcPr>
            <w:tcW w:type="dxa" w:w="2000"/>
            <w:shd w:fill="FFFFFF" w:val="clear"/>
            <w:tcMar>
              <w:top w:type="dxa" w:w="90"/>
              <w:left w:type="dxa" w:w="110"/>
              <w:bottom w:type="dxa" w:w="90"/>
              <w:right w:type="dxa" w:w="110"/>
            </w:tcMar>
          </w:tcPr>
          <w:p>
            <w:pPr>
              <w:spacing w:after="0" w:line="264"/>
            </w:pPr>
            <w:r>
              <w:rPr>
                <w:b/>
                <w:bCs/>
                <w:sz w:val="19"/>
                <w:szCs w:val="19"/>
              </w:rPr>
              <w:t xml:space="preserve">Document</w:t>
            </w:r>
          </w:p>
        </w:tc>
        <w:tc>
          <w:tcPr>
            <w:tcW w:type="dxa" w:w="7360"/>
            <w:shd w:fill="FFFFFF" w:val="clear"/>
            <w:tcMar>
              <w:top w:type="dxa" w:w="90"/>
              <w:left w:type="dxa" w:w="110"/>
              <w:bottom w:type="dxa" w:w="90"/>
              <w:right w:type="dxa" w:w="110"/>
            </w:tcMar>
          </w:tcPr>
          <w:p>
            <w:pPr>
              <w:spacing w:after="0" w:line="264"/>
            </w:pPr>
            <w:r>
              <w:rPr>
                <w:b w:val="false"/>
                <w:bCs w:val="false"/>
                <w:sz w:val="19"/>
                <w:szCs w:val="19"/>
              </w:rPr>
              <w:t xml:space="preserve">Architecture review of AWS Message Synchronization Technical Design Document v1.0</w:t>
            </w:r>
          </w:p>
        </w:tc>
      </w:tr>
      <w:tr>
        <w:tc>
          <w:tcPr>
            <w:tcW w:type="dxa" w:w="2000"/>
            <w:shd w:fill="F2F5F9" w:val="clear"/>
            <w:tcMar>
              <w:top w:type="dxa" w:w="90"/>
              <w:left w:type="dxa" w:w="110"/>
              <w:bottom w:type="dxa" w:w="90"/>
              <w:right w:type="dxa" w:w="110"/>
            </w:tcMar>
          </w:tcPr>
          <w:p>
            <w:pPr>
              <w:spacing w:after="0" w:line="264"/>
            </w:pPr>
            <w:r>
              <w:rPr>
                <w:b/>
                <w:bCs/>
                <w:sz w:val="19"/>
                <w:szCs w:val="19"/>
              </w:rPr>
              <w:t xml:space="preserve">Review version</w:t>
            </w:r>
          </w:p>
        </w:tc>
        <w:tc>
          <w:tcPr>
            <w:tcW w:type="dxa" w:w="7360"/>
            <w:shd w:fill="F2F5F9" w:val="clear"/>
            <w:tcMar>
              <w:top w:type="dxa" w:w="90"/>
              <w:left w:type="dxa" w:w="110"/>
              <w:bottom w:type="dxa" w:w="90"/>
              <w:right w:type="dxa" w:w="110"/>
            </w:tcMar>
          </w:tcPr>
          <w:p>
            <w:pPr>
              <w:spacing w:after="0" w:line="264"/>
            </w:pPr>
            <w:r>
              <w:rPr>
                <w:b w:val="false"/>
                <w:bCs w:val="false"/>
                <w:sz w:val="19"/>
                <w:szCs w:val="19"/>
              </w:rPr>
              <w:t xml:space="preserve">1.1</w:t>
            </w:r>
          </w:p>
        </w:tc>
      </w:tr>
      <w:tr>
        <w:tc>
          <w:tcPr>
            <w:tcW w:type="dxa" w:w="2000"/>
            <w:shd w:fill="FFFFFF" w:val="clear"/>
            <w:tcMar>
              <w:top w:type="dxa" w:w="90"/>
              <w:left w:type="dxa" w:w="110"/>
              <w:bottom w:type="dxa" w:w="90"/>
              <w:right w:type="dxa" w:w="110"/>
            </w:tcMar>
          </w:tcPr>
          <w:p>
            <w:pPr>
              <w:spacing w:after="0" w:line="264"/>
            </w:pPr>
            <w:r>
              <w:rPr>
                <w:b/>
                <w:bCs/>
                <w:sz w:val="19"/>
                <w:szCs w:val="19"/>
              </w:rPr>
              <w:t xml:space="preserve">Date</w:t>
            </w:r>
          </w:p>
        </w:tc>
        <w:tc>
          <w:tcPr>
            <w:tcW w:type="dxa" w:w="7360"/>
            <w:shd w:fill="FFFFFF" w:val="clear"/>
            <w:tcMar>
              <w:top w:type="dxa" w:w="90"/>
              <w:left w:type="dxa" w:w="110"/>
              <w:bottom w:type="dxa" w:w="90"/>
              <w:right w:type="dxa" w:w="110"/>
            </w:tcMar>
          </w:tcPr>
          <w:p>
            <w:pPr>
              <w:spacing w:after="0" w:line="264"/>
            </w:pPr>
            <w:r>
              <w:rPr>
                <w:b w:val="false"/>
                <w:bCs w:val="false"/>
                <w:sz w:val="19"/>
                <w:szCs w:val="19"/>
              </w:rPr>
              <w:t xml:space="preserve">1 September 2026</w:t>
            </w:r>
          </w:p>
        </w:tc>
      </w:tr>
      <w:tr>
        <w:tc>
          <w:tcPr>
            <w:tcW w:type="dxa" w:w="2000"/>
            <w:shd w:fill="F2F5F9" w:val="clear"/>
            <w:tcMar>
              <w:top w:type="dxa" w:w="90"/>
              <w:left w:type="dxa" w:w="110"/>
              <w:bottom w:type="dxa" w:w="90"/>
              <w:right w:type="dxa" w:w="110"/>
            </w:tcMar>
          </w:tcPr>
          <w:p>
            <w:pPr>
              <w:spacing w:after="0" w:line="264"/>
            </w:pPr>
            <w:r>
              <w:rPr>
                <w:b/>
                <w:bCs/>
                <w:sz w:val="19"/>
                <w:szCs w:val="19"/>
              </w:rPr>
              <w:t xml:space="preserve">Status</w:t>
            </w:r>
          </w:p>
        </w:tc>
        <w:tc>
          <w:tcPr>
            <w:tcW w:type="dxa" w:w="7360"/>
            <w:shd w:fill="F2F5F9" w:val="clear"/>
            <w:tcMar>
              <w:top w:type="dxa" w:w="90"/>
              <w:left w:type="dxa" w:w="110"/>
              <w:bottom w:type="dxa" w:w="90"/>
              <w:right w:type="dxa" w:w="110"/>
            </w:tcMar>
          </w:tcPr>
          <w:p>
            <w:pPr>
              <w:spacing w:after="0" w:line="264"/>
            </w:pPr>
            <w:r>
              <w:rPr>
                <w:b w:val="false"/>
                <w:bCs w:val="false"/>
                <w:sz w:val="19"/>
                <w:szCs w:val="19"/>
              </w:rPr>
              <w:t xml:space="preserve">For technical review</w:t>
            </w:r>
          </w:p>
        </w:tc>
      </w:tr>
      <w:tr>
        <w:tc>
          <w:tcPr>
            <w:tcW w:type="dxa" w:w="2000"/>
            <w:shd w:fill="FFFFFF" w:val="clear"/>
            <w:tcMar>
              <w:top w:type="dxa" w:w="90"/>
              <w:left w:type="dxa" w:w="110"/>
              <w:bottom w:type="dxa" w:w="90"/>
              <w:right w:type="dxa" w:w="110"/>
            </w:tcMar>
          </w:tcPr>
          <w:p>
            <w:pPr>
              <w:spacing w:after="0" w:line="264"/>
            </w:pPr>
            <w:r>
              <w:rPr>
                <w:b/>
                <w:bCs/>
                <w:sz w:val="19"/>
                <w:szCs w:val="19"/>
              </w:rPr>
              <w:t xml:space="preserve">Scope</w:t>
            </w:r>
          </w:p>
        </w:tc>
        <w:tc>
          <w:tcPr>
            <w:tcW w:type="dxa" w:w="7360"/>
            <w:shd w:fill="FFFFFF" w:val="clear"/>
            <w:tcMar>
              <w:top w:type="dxa" w:w="90"/>
              <w:left w:type="dxa" w:w="110"/>
              <w:bottom w:type="dxa" w:w="90"/>
              <w:right w:type="dxa" w:w="110"/>
            </w:tcMar>
          </w:tcPr>
          <w:p>
            <w:pPr>
              <w:spacing w:after="0" w:line="264"/>
            </w:pPr>
            <w:r>
              <w:rPr>
                <w:b w:val="false"/>
                <w:bCs w:val="false"/>
                <w:sz w:val="19"/>
                <w:szCs w:val="19"/>
              </w:rPr>
              <w:t xml:space="preserve">Change data capture, event distribution, and Operational Data Store synchronisation</w:t>
            </w:r>
          </w:p>
        </w:tc>
      </w:tr>
      <w:tr>
        <w:tc>
          <w:tcPr>
            <w:tcW w:type="dxa" w:w="2000"/>
            <w:shd w:fill="F2F5F9" w:val="clear"/>
            <w:tcMar>
              <w:top w:type="dxa" w:w="90"/>
              <w:left w:type="dxa" w:w="110"/>
              <w:bottom w:type="dxa" w:w="90"/>
              <w:right w:type="dxa" w:w="110"/>
            </w:tcMar>
          </w:tcPr>
          <w:p>
            <w:pPr>
              <w:spacing w:after="0" w:line="264"/>
            </w:pPr>
            <w:r>
              <w:rPr>
                <w:b/>
                <w:bCs/>
                <w:sz w:val="19"/>
                <w:szCs w:val="19"/>
              </w:rPr>
              <w:t xml:space="preserve">Outcome</w:t>
            </w:r>
          </w:p>
        </w:tc>
        <w:tc>
          <w:tcPr>
            <w:tcW w:type="dxa" w:w="7360"/>
            <w:shd w:fill="F2F5F9" w:val="clear"/>
            <w:tcMar>
              <w:top w:type="dxa" w:w="90"/>
              <w:left w:type="dxa" w:w="110"/>
              <w:bottom w:type="dxa" w:w="90"/>
              <w:right w:type="dxa" w:w="110"/>
            </w:tcMar>
          </w:tcPr>
          <w:p>
            <w:pPr>
              <w:spacing w:after="0" w:line="264"/>
            </w:pPr>
            <w:r>
              <w:rPr>
                <w:b w:val="false"/>
                <w:bCs w:val="false"/>
                <w:sz w:val="19"/>
                <w:szCs w:val="19"/>
              </w:rPr>
              <w:t xml:space="preserve">Approve with changes. One blocking issue must be resolved before build begins.</w:t>
            </w:r>
          </w:p>
        </w:tc>
      </w:tr>
    </w:tbl>
    <w:p>
      <w:r>
        <w:br w:type="page"/>
      </w:r>
    </w:p>
    <w:p>
      <w:pPr>
        <w:spacing w:after="20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Purpose and scope</w:t>
      </w:r>
    </w:p>
    <w:p>
      <w:pPr>
        <w:spacing w:after="140" w:line="276"/>
      </w:pPr>
      <w:r>
        <w:rPr>
          <w:b w:val="false"/>
          <w:bCs w:val="false"/>
          <w:i w:val="false"/>
          <w:iCs w:val="false"/>
          <w:sz w:val="21"/>
          <w:szCs w:val="21"/>
        </w:rPr>
        <w:t xml:space="preserve">This document reviews the architecture described in the AWS Message Synchronization Technical Design Document v1.0 and sets out a revised design. It covers three questions: whether the proposed design is implementable as written, whether it matches how comparable systems are built at scale, and what should change before implementation starts.</w:t>
      </w:r>
    </w:p>
    <w:p>
      <w:pPr>
        <w:spacing w:after="140" w:line="276"/>
      </w:pPr>
      <w:r>
        <w:rPr>
          <w:b w:val="false"/>
          <w:bCs w:val="false"/>
          <w:i w:val="false"/>
          <w:iCs w:val="false"/>
          <w:sz w:val="21"/>
          <w:szCs w:val="21"/>
        </w:rPr>
        <w:t xml:space="preserve">The review assumes the stated business objective is unchanged: capture changes in the operational database in near real time, notify multiple downstream applications, and maintain an Operational Data Store so that reporting does not contend with production transactions.</w:t>
      </w:r>
    </w:p>
    <w:p>
      <w:pPr>
        <w:pStyle w:val="Heading1"/>
        <w:spacing w:after="160" w:before="360"/>
      </w:pPr>
      <w:r>
        <w:rPr>
          <w:b/>
          <w:bCs/>
          <w:color w:val="1F3864"/>
          <w:sz w:val="30"/>
          <w:szCs w:val="30"/>
        </w:rPr>
        <w:t xml:space="preserve">2. Summary of findings</w:t>
      </w:r>
    </w:p>
    <w:p>
      <w:pPr>
        <w:spacing w:after="140" w:line="276"/>
      </w:pPr>
      <w:r>
        <w:rPr>
          <w:b w:val="false"/>
          <w:bCs w:val="false"/>
          <w:i w:val="false"/>
          <w:iCs w:val="false"/>
          <w:sz w:val="21"/>
          <w:szCs w:val="21"/>
        </w:rPr>
        <w:t xml:space="preserve">The overall shape of the design is sound. Capturing changes from the transactional database into a durable stream, then fanning out to independent consumers through a publish-subscribe topic and per-consumer queues, is a well-established pattern. The service selection is reasonable for an AWS-native team. Nothing about the high-level diagram is unusual.</w:t>
      </w:r>
    </w:p>
    <w:p>
      <w:pPr>
        <w:spacing w:after="140" w:line="276"/>
      </w:pPr>
      <w:r>
        <w:rPr>
          <w:b w:val="false"/>
          <w:bCs w:val="false"/>
          <w:i w:val="false"/>
          <w:iCs w:val="false"/>
          <w:sz w:val="21"/>
          <w:szCs w:val="21"/>
        </w:rPr>
        <w:t xml:space="preserve">The problems are in the detail, and one of them prevents the design from being built as specified.</w:t>
      </w:r>
    </w:p>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60"/>
        <w:gridCol w:w="1500"/>
      </w:tblGrid>
      <w:tr>
        <w:trPr>
          <w:tblHeader/>
        </w:trPr>
        <w:tc>
          <w:tcPr>
            <w:tcW w:type="dxa" w:w="700"/>
            <w:shd w:fill="1F3864" w:val="clear"/>
            <w:tcMar>
              <w:top w:type="dxa" w:w="90"/>
              <w:left w:type="dxa" w:w="110"/>
              <w:bottom w:type="dxa" w:w="90"/>
              <w:right w:type="dxa" w:w="110"/>
            </w:tcMar>
          </w:tcPr>
          <w:p>
            <w:r>
              <w:rPr>
                <w:b/>
                <w:bCs/>
                <w:color w:val="FFFFFF"/>
                <w:sz w:val="19"/>
                <w:szCs w:val="19"/>
              </w:rPr>
              <w:t xml:space="preserve">Ref</w:t>
            </w:r>
          </w:p>
        </w:tc>
        <w:tc>
          <w:tcPr>
            <w:tcW w:type="dxa" w:w="7160"/>
            <w:shd w:fill="1F3864" w:val="clear"/>
            <w:tcMar>
              <w:top w:type="dxa" w:w="90"/>
              <w:left w:type="dxa" w:w="110"/>
              <w:bottom w:type="dxa" w:w="90"/>
              <w:right w:type="dxa" w:w="110"/>
            </w:tcMar>
          </w:tcPr>
          <w:p>
            <w:r>
              <w:rPr>
                <w:b/>
                <w:bCs/>
                <w:color w:val="FFFFFF"/>
                <w:sz w:val="19"/>
                <w:szCs w:val="19"/>
              </w:rPr>
              <w:t xml:space="preserve">Finding</w:t>
            </w:r>
          </w:p>
        </w:tc>
        <w:tc>
          <w:tcPr>
            <w:tcW w:type="dxa" w:w="1500"/>
            <w:shd w:fill="1F3864" w:val="clear"/>
            <w:tcMar>
              <w:top w:type="dxa" w:w="90"/>
              <w:left w:type="dxa" w:w="110"/>
              <w:bottom w:type="dxa" w:w="90"/>
              <w:right w:type="dxa" w:w="110"/>
            </w:tcMar>
          </w:tcPr>
          <w:p>
            <w:r>
              <w:rPr>
                <w:b/>
                <w:bCs/>
                <w:color w:val="FFFFFF"/>
                <w:sz w:val="19"/>
                <w:szCs w:val="19"/>
              </w:rPr>
              <w:t xml:space="preserve">Severity</w:t>
            </w:r>
          </w:p>
        </w:tc>
      </w:tr>
      <w:tr>
        <w:tc>
          <w:tcPr>
            <w:tcW w:type="dxa" w:w="700"/>
            <w:shd w:fill="FFFFFF" w:val="clear"/>
            <w:tcMar>
              <w:top w:type="dxa" w:w="90"/>
              <w:left w:type="dxa" w:w="110"/>
              <w:bottom w:type="dxa" w:w="90"/>
              <w:right w:type="dxa" w:w="110"/>
            </w:tcMar>
          </w:tcPr>
          <w:p>
            <w:pPr>
              <w:spacing w:after="0" w:line="264"/>
            </w:pPr>
            <w:r>
              <w:rPr>
                <w:b/>
                <w:bCs/>
                <w:sz w:val="19"/>
                <w:szCs w:val="19"/>
              </w:rPr>
              <w:t xml:space="preserve">3.1</w:t>
            </w:r>
          </w:p>
        </w:tc>
        <w:tc>
          <w:tcPr>
            <w:tcW w:type="dxa" w:w="7160"/>
            <w:shd w:fill="FFFFFF" w:val="clear"/>
            <w:tcMar>
              <w:top w:type="dxa" w:w="90"/>
              <w:left w:type="dxa" w:w="110"/>
              <w:bottom w:type="dxa" w:w="90"/>
              <w:right w:type="dxa" w:w="110"/>
            </w:tcMar>
          </w:tcPr>
          <w:p>
            <w:pPr>
              <w:spacing w:after="0" w:line="264"/>
            </w:pPr>
            <w:r>
              <w:rPr>
                <w:b w:val="false"/>
                <w:bCs w:val="false"/>
                <w:sz w:val="19"/>
                <w:szCs w:val="19"/>
              </w:rPr>
              <w:t xml:space="preserve">The ODS delivery path cannot be implemented with the services named. Neither Amazon Data Firehose nor AWS DMS can write to a Db2 target from an Aurora source.</w:t>
            </w:r>
          </w:p>
        </w:tc>
        <w:tc>
          <w:tcPr>
            <w:tcW w:type="dxa" w:w="1500"/>
            <w:shd w:fill="FFFFFF" w:val="clear"/>
            <w:tcMar>
              <w:top w:type="dxa" w:w="90"/>
              <w:left w:type="dxa" w:w="110"/>
              <w:bottom w:type="dxa" w:w="90"/>
              <w:right w:type="dxa" w:w="110"/>
            </w:tcMar>
          </w:tcPr>
          <w:p>
            <w:pPr>
              <w:spacing w:after="0" w:line="264"/>
            </w:pPr>
            <w:r>
              <w:rPr>
                <w:b w:val="false"/>
                <w:bCs w:val="false"/>
                <w:sz w:val="19"/>
                <w:szCs w:val="19"/>
              </w:rPr>
              <w:t xml:space="preserve">Blocking</w:t>
            </w:r>
          </w:p>
        </w:tc>
      </w:tr>
      <w:tr>
        <w:tc>
          <w:tcPr>
            <w:tcW w:type="dxa" w:w="700"/>
            <w:shd w:fill="F2F5F9" w:val="clear"/>
            <w:tcMar>
              <w:top w:type="dxa" w:w="90"/>
              <w:left w:type="dxa" w:w="110"/>
              <w:bottom w:type="dxa" w:w="90"/>
              <w:right w:type="dxa" w:w="110"/>
            </w:tcMar>
          </w:tcPr>
          <w:p>
            <w:pPr>
              <w:spacing w:after="0" w:line="264"/>
            </w:pPr>
            <w:r>
              <w:rPr>
                <w:b/>
                <w:bCs/>
                <w:sz w:val="19"/>
                <w:szCs w:val="19"/>
              </w:rPr>
              <w:t xml:space="preserve">3.2</w:t>
            </w:r>
          </w:p>
        </w:tc>
        <w:tc>
          <w:tcPr>
            <w:tcW w:type="dxa" w:w="7160"/>
            <w:shd w:fill="F2F5F9" w:val="clear"/>
            <w:tcMar>
              <w:top w:type="dxa" w:w="90"/>
              <w:left w:type="dxa" w:w="110"/>
              <w:bottom w:type="dxa" w:w="90"/>
              <w:right w:type="dxa" w:w="110"/>
            </w:tcMar>
          </w:tcPr>
          <w:p>
            <w:pPr>
              <w:spacing w:after="0" w:line="264"/>
            </w:pPr>
            <w:r>
              <w:rPr>
                <w:b w:val="false"/>
                <w:bCs w:val="false"/>
                <w:sz w:val="19"/>
                <w:szCs w:val="19"/>
              </w:rPr>
              <w:t xml:space="preserve">Message ordering is not preserved end to end. Standard SNS and SQS discard ordering even where Kinesis maintains it.</w:t>
            </w:r>
          </w:p>
        </w:tc>
        <w:tc>
          <w:tcPr>
            <w:tcW w:type="dxa" w:w="1500"/>
            <w:shd w:fill="F2F5F9" w:val="clear"/>
            <w:tcMar>
              <w:top w:type="dxa" w:w="90"/>
              <w:left w:type="dxa" w:w="110"/>
              <w:bottom w:type="dxa" w:w="90"/>
              <w:right w:type="dxa" w:w="110"/>
            </w:tcMar>
          </w:tcPr>
          <w:p>
            <w:pPr>
              <w:spacing w:after="0" w:line="264"/>
            </w:pPr>
            <w:r>
              <w:rPr>
                <w:b w:val="false"/>
                <w:bCs w:val="false"/>
                <w:sz w:val="19"/>
                <w:szCs w:val="19"/>
              </w:rPr>
              <w:t xml:space="preserve">High</w:t>
            </w:r>
          </w:p>
        </w:tc>
      </w:tr>
      <w:tr>
        <w:tc>
          <w:tcPr>
            <w:tcW w:type="dxa" w:w="700"/>
            <w:shd w:fill="FFFFFF" w:val="clear"/>
            <w:tcMar>
              <w:top w:type="dxa" w:w="90"/>
              <w:left w:type="dxa" w:w="110"/>
              <w:bottom w:type="dxa" w:w="90"/>
              <w:right w:type="dxa" w:w="110"/>
            </w:tcMar>
          </w:tcPr>
          <w:p>
            <w:pPr>
              <w:spacing w:after="0" w:line="264"/>
            </w:pPr>
            <w:r>
              <w:rPr>
                <w:b/>
                <w:bCs/>
                <w:sz w:val="19"/>
                <w:szCs w:val="19"/>
              </w:rPr>
              <w:t xml:space="preserve">3.3</w:t>
            </w:r>
          </w:p>
        </w:tc>
        <w:tc>
          <w:tcPr>
            <w:tcW w:type="dxa" w:w="7160"/>
            <w:shd w:fill="FFFFFF" w:val="clear"/>
            <w:tcMar>
              <w:top w:type="dxa" w:w="90"/>
              <w:left w:type="dxa" w:w="110"/>
              <w:bottom w:type="dxa" w:w="90"/>
              <w:right w:type="dxa" w:w="110"/>
            </w:tcMar>
          </w:tcPr>
          <w:p>
            <w:pPr>
              <w:spacing w:after="0" w:line="264"/>
            </w:pPr>
            <w:r>
              <w:rPr>
                <w:b w:val="false"/>
                <w:bCs w:val="false"/>
                <w:sz w:val="19"/>
                <w:szCs w:val="19"/>
              </w:rPr>
              <w:t xml:space="preserve">Duplicate delivery is guaranteed by the chosen services, but no idempotency mechanism is defined.</w:t>
            </w:r>
          </w:p>
        </w:tc>
        <w:tc>
          <w:tcPr>
            <w:tcW w:type="dxa" w:w="1500"/>
            <w:shd w:fill="FFFFFF" w:val="clear"/>
            <w:tcMar>
              <w:top w:type="dxa" w:w="90"/>
              <w:left w:type="dxa" w:w="110"/>
              <w:bottom w:type="dxa" w:w="90"/>
              <w:right w:type="dxa" w:w="110"/>
            </w:tcMar>
          </w:tcPr>
          <w:p>
            <w:pPr>
              <w:spacing w:after="0" w:line="264"/>
            </w:pPr>
            <w:r>
              <w:rPr>
                <w:b w:val="false"/>
                <w:bCs w:val="false"/>
                <w:sz w:val="19"/>
                <w:szCs w:val="19"/>
              </w:rPr>
              <w:t xml:space="preserve">High</w:t>
            </w:r>
          </w:p>
        </w:tc>
      </w:tr>
      <w:tr>
        <w:tc>
          <w:tcPr>
            <w:tcW w:type="dxa" w:w="700"/>
            <w:shd w:fill="F2F5F9" w:val="clear"/>
            <w:tcMar>
              <w:top w:type="dxa" w:w="90"/>
              <w:left w:type="dxa" w:w="110"/>
              <w:bottom w:type="dxa" w:w="90"/>
              <w:right w:type="dxa" w:w="110"/>
            </w:tcMar>
          </w:tcPr>
          <w:p>
            <w:pPr>
              <w:spacing w:after="0" w:line="264"/>
            </w:pPr>
            <w:r>
              <w:rPr>
                <w:b/>
                <w:bCs/>
                <w:sz w:val="19"/>
                <w:szCs w:val="19"/>
              </w:rPr>
              <w:t xml:space="preserve">3.4</w:t>
            </w:r>
          </w:p>
        </w:tc>
        <w:tc>
          <w:tcPr>
            <w:tcW w:type="dxa" w:w="7160"/>
            <w:shd w:fill="F2F5F9" w:val="clear"/>
            <w:tcMar>
              <w:top w:type="dxa" w:w="90"/>
              <w:left w:type="dxa" w:w="110"/>
              <w:bottom w:type="dxa" w:w="90"/>
              <w:right w:type="dxa" w:w="110"/>
            </w:tcMar>
          </w:tcPr>
          <w:p>
            <w:pPr>
              <w:spacing w:after="0" w:line="264"/>
            </w:pPr>
            <w:r>
              <w:rPr>
                <w:b w:val="false"/>
                <w:bCs w:val="false"/>
                <w:sz w:val="19"/>
                <w:szCs w:val="19"/>
              </w:rPr>
              <w:t xml:space="preserve">Default Kinesis-to-Lambda error handling will stall a shard indefinitely on a single unprocessable record.</w:t>
            </w:r>
          </w:p>
        </w:tc>
        <w:tc>
          <w:tcPr>
            <w:tcW w:type="dxa" w:w="1500"/>
            <w:shd w:fill="F2F5F9" w:val="clear"/>
            <w:tcMar>
              <w:top w:type="dxa" w:w="90"/>
              <w:left w:type="dxa" w:w="110"/>
              <w:bottom w:type="dxa" w:w="90"/>
              <w:right w:type="dxa" w:w="110"/>
            </w:tcMar>
          </w:tcPr>
          <w:p>
            <w:pPr>
              <w:spacing w:after="0" w:line="264"/>
            </w:pPr>
            <w:r>
              <w:rPr>
                <w:b w:val="false"/>
                <w:bCs w:val="false"/>
                <w:sz w:val="19"/>
                <w:szCs w:val="19"/>
              </w:rPr>
              <w:t xml:space="preserve">High</w:t>
            </w:r>
          </w:p>
        </w:tc>
      </w:tr>
      <w:tr>
        <w:tc>
          <w:tcPr>
            <w:tcW w:type="dxa" w:w="700"/>
            <w:shd w:fill="FFFFFF" w:val="clear"/>
            <w:tcMar>
              <w:top w:type="dxa" w:w="90"/>
              <w:left w:type="dxa" w:w="110"/>
              <w:bottom w:type="dxa" w:w="90"/>
              <w:right w:type="dxa" w:w="110"/>
            </w:tcMar>
          </w:tcPr>
          <w:p>
            <w:pPr>
              <w:spacing w:after="0" w:line="264"/>
            </w:pPr>
            <w:r>
              <w:rPr>
                <w:b/>
                <w:bCs/>
                <w:sz w:val="19"/>
                <w:szCs w:val="19"/>
              </w:rPr>
              <w:t xml:space="preserve">4.1</w:t>
            </w:r>
          </w:p>
        </w:tc>
        <w:tc>
          <w:tcPr>
            <w:tcW w:type="dxa" w:w="7160"/>
            <w:shd w:fill="FFFFFF" w:val="clear"/>
            <w:tcMar>
              <w:top w:type="dxa" w:w="90"/>
              <w:left w:type="dxa" w:w="110"/>
              <w:bottom w:type="dxa" w:w="90"/>
              <w:right w:type="dxa" w:w="110"/>
            </w:tcMar>
          </w:tcPr>
          <w:p>
            <w:pPr>
              <w:spacing w:after="0" w:line="264"/>
            </w:pPr>
            <w:r>
              <w:rPr>
                <w:b w:val="false"/>
                <w:bCs w:val="false"/>
                <w:sz w:val="19"/>
                <w:szCs w:val="19"/>
              </w:rPr>
              <w:t xml:space="preserve">Downstream consumers are coupled to Aurora table structure, which undermines the decoupling the design sets out to achieve.</w:t>
            </w:r>
          </w:p>
        </w:tc>
        <w:tc>
          <w:tcPr>
            <w:tcW w:type="dxa" w:w="1500"/>
            <w:shd w:fill="FFFFFF" w:val="clear"/>
            <w:tcMar>
              <w:top w:type="dxa" w:w="90"/>
              <w:left w:type="dxa" w:w="110"/>
              <w:bottom w:type="dxa" w:w="90"/>
              <w:right w:type="dxa" w:w="110"/>
            </w:tcMar>
          </w:tcPr>
          <w:p>
            <w:pPr>
              <w:spacing w:after="0" w:line="264"/>
            </w:pPr>
            <w:r>
              <w:rPr>
                <w:b w:val="false"/>
                <w:bCs w:val="false"/>
                <w:sz w:val="19"/>
                <w:szCs w:val="19"/>
              </w:rPr>
              <w:t xml:space="preserve">High</w:t>
            </w:r>
          </w:p>
        </w:tc>
      </w:tr>
      <w:tr>
        <w:tc>
          <w:tcPr>
            <w:tcW w:type="dxa" w:w="700"/>
            <w:shd w:fill="F2F5F9" w:val="clear"/>
            <w:tcMar>
              <w:top w:type="dxa" w:w="90"/>
              <w:left w:type="dxa" w:w="110"/>
              <w:bottom w:type="dxa" w:w="90"/>
              <w:right w:type="dxa" w:w="110"/>
            </w:tcMar>
          </w:tcPr>
          <w:p>
            <w:pPr>
              <w:spacing w:after="0" w:line="264"/>
            </w:pPr>
            <w:r>
              <w:rPr>
                <w:b/>
                <w:bCs/>
                <w:sz w:val="19"/>
                <w:szCs w:val="19"/>
              </w:rPr>
              <w:t xml:space="preserve">4.2</w:t>
            </w:r>
          </w:p>
        </w:tc>
        <w:tc>
          <w:tcPr>
            <w:tcW w:type="dxa" w:w="7160"/>
            <w:shd w:fill="F2F5F9" w:val="clear"/>
            <w:tcMar>
              <w:top w:type="dxa" w:w="90"/>
              <w:left w:type="dxa" w:w="110"/>
              <w:bottom w:type="dxa" w:w="90"/>
              <w:right w:type="dxa" w:w="110"/>
            </w:tcMar>
          </w:tcPr>
          <w:p>
            <w:pPr>
              <w:spacing w:after="0" w:line="264"/>
            </w:pPr>
            <w:r>
              <w:rPr>
                <w:b w:val="false"/>
                <w:bCs w:val="false"/>
                <w:sz w:val="19"/>
                <w:szCs w:val="19"/>
              </w:rPr>
              <w:t xml:space="preserve">A single stream serves two workloads with different data and durability requirements.</w:t>
            </w:r>
          </w:p>
        </w:tc>
        <w:tc>
          <w:tcPr>
            <w:tcW w:type="dxa" w:w="1500"/>
            <w:shd w:fill="F2F5F9" w:val="clear"/>
            <w:tcMar>
              <w:top w:type="dxa" w:w="90"/>
              <w:left w:type="dxa" w:w="110"/>
              <w:bottom w:type="dxa" w:w="90"/>
              <w:right w:type="dxa" w:w="110"/>
            </w:tcMar>
          </w:tcPr>
          <w:p>
            <w:pPr>
              <w:spacing w:after="0" w:line="264"/>
            </w:pPr>
            <w:r>
              <w:rPr>
                <w:b w:val="false"/>
                <w:bCs w:val="false"/>
                <w:sz w:val="19"/>
                <w:szCs w:val="19"/>
              </w:rPr>
              <w:t xml:space="preserve">Medium</w:t>
            </w:r>
          </w:p>
        </w:tc>
      </w:tr>
      <w:tr>
        <w:tc>
          <w:tcPr>
            <w:tcW w:type="dxa" w:w="700"/>
            <w:shd w:fill="FFFFFF" w:val="clear"/>
            <w:tcMar>
              <w:top w:type="dxa" w:w="90"/>
              <w:left w:type="dxa" w:w="110"/>
              <w:bottom w:type="dxa" w:w="90"/>
              <w:right w:type="dxa" w:w="110"/>
            </w:tcMar>
          </w:tcPr>
          <w:p>
            <w:pPr>
              <w:spacing w:after="0" w:line="264"/>
            </w:pPr>
            <w:r>
              <w:rPr>
                <w:b/>
                <w:bCs/>
                <w:sz w:val="19"/>
                <w:szCs w:val="19"/>
              </w:rPr>
              <w:t xml:space="preserve">6.x</w:t>
            </w:r>
          </w:p>
        </w:tc>
        <w:tc>
          <w:tcPr>
            <w:tcW w:type="dxa" w:w="7160"/>
            <w:shd w:fill="FFFFFF" w:val="clear"/>
            <w:tcMar>
              <w:top w:type="dxa" w:w="90"/>
              <w:left w:type="dxa" w:w="110"/>
              <w:bottom w:type="dxa" w:w="90"/>
              <w:right w:type="dxa" w:w="110"/>
            </w:tcMar>
          </w:tcPr>
          <w:p>
            <w:pPr>
              <w:spacing w:after="0" w:line="264"/>
            </w:pPr>
            <w:r>
              <w:rPr>
                <w:b w:val="false"/>
                <w:bCs w:val="false"/>
                <w:sz w:val="19"/>
                <w:szCs w:val="19"/>
              </w:rPr>
              <w:t xml:space="preserve">AWS DMS is treated as permanent runtime infrastructure without redundancy, autoscaling, or failure monitoring.</w:t>
            </w:r>
          </w:p>
        </w:tc>
        <w:tc>
          <w:tcPr>
            <w:tcW w:type="dxa" w:w="1500"/>
            <w:shd w:fill="FFFFFF" w:val="clear"/>
            <w:tcMar>
              <w:top w:type="dxa" w:w="90"/>
              <w:left w:type="dxa" w:w="110"/>
              <w:bottom w:type="dxa" w:w="90"/>
              <w:right w:type="dxa" w:w="110"/>
            </w:tcMar>
          </w:tcPr>
          <w:p>
            <w:pPr>
              <w:spacing w:after="0" w:line="264"/>
            </w:pPr>
            <w:r>
              <w:rPr>
                <w:b w:val="false"/>
                <w:bCs w:val="false"/>
                <w:sz w:val="19"/>
                <w:szCs w:val="19"/>
              </w:rPr>
              <w:t xml:space="preserve">Medium</w:t>
            </w:r>
          </w:p>
        </w:tc>
      </w:tr>
      <w:tr>
        <w:tc>
          <w:tcPr>
            <w:tcW w:type="dxa" w:w="700"/>
            <w:shd w:fill="F2F5F9" w:val="clear"/>
            <w:tcMar>
              <w:top w:type="dxa" w:w="90"/>
              <w:left w:type="dxa" w:w="110"/>
              <w:bottom w:type="dxa" w:w="90"/>
              <w:right w:type="dxa" w:w="110"/>
            </w:tcMar>
          </w:tcPr>
          <w:p>
            <w:pPr>
              <w:spacing w:after="0" w:line="264"/>
            </w:pPr>
            <w:r>
              <w:rPr>
                <w:b/>
                <w:bCs/>
                <w:sz w:val="19"/>
                <w:szCs w:val="19"/>
              </w:rPr>
              <w:t xml:space="preserve">8.x</w:t>
            </w:r>
          </w:p>
        </w:tc>
        <w:tc>
          <w:tcPr>
            <w:tcW w:type="dxa" w:w="7160"/>
            <w:shd w:fill="F2F5F9" w:val="clear"/>
            <w:tcMar>
              <w:top w:type="dxa" w:w="90"/>
              <w:left w:type="dxa" w:w="110"/>
              <w:bottom w:type="dxa" w:w="90"/>
              <w:right w:type="dxa" w:w="110"/>
            </w:tcMar>
          </w:tcPr>
          <w:p>
            <w:pPr>
              <w:spacing w:after="0" w:line="264"/>
            </w:pPr>
            <w:r>
              <w:rPr>
                <w:b w:val="false"/>
                <w:bCs w:val="false"/>
                <w:sz w:val="19"/>
                <w:szCs w:val="19"/>
              </w:rPr>
              <w:t xml:space="preserve">No coverage of monitoring, alerting, backfill, replay procedure, security, sizing, or cost.</w:t>
            </w:r>
          </w:p>
        </w:tc>
        <w:tc>
          <w:tcPr>
            <w:tcW w:type="dxa" w:w="1500"/>
            <w:shd w:fill="F2F5F9" w:val="clear"/>
            <w:tcMar>
              <w:top w:type="dxa" w:w="90"/>
              <w:left w:type="dxa" w:w="110"/>
              <w:bottom w:type="dxa" w:w="90"/>
              <w:right w:type="dxa" w:w="110"/>
            </w:tcMar>
          </w:tcPr>
          <w:p>
            <w:pPr>
              <w:spacing w:after="0" w:line="264"/>
            </w:pPr>
            <w:r>
              <w:rPr>
                <w:b w:val="false"/>
                <w:bCs w:val="false"/>
                <w:sz w:val="19"/>
                <w:szCs w:val="19"/>
              </w:rPr>
              <w:t xml:space="preserve">Medium</w:t>
            </w:r>
          </w:p>
        </w:tc>
      </w:tr>
    </w:tbl>
    <w:p>
      <w:pP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2F2" w:val="clear"/>
            <w:tcMar>
              <w:top w:type="dxa" w:w="120"/>
              <w:left w:type="dxa" w:w="160"/>
              <w:bottom w:type="dxa" w:w="120"/>
              <w:right w:type="dxa" w:w="160"/>
            </w:tcMar>
          </w:tcPr>
          <w:p>
            <w:pPr>
              <w:spacing w:after="60"/>
            </w:pPr>
            <w:r>
              <w:rPr>
                <w:b/>
                <w:bCs/>
                <w:color w:val="8B1A1A"/>
                <w:sz w:val="20"/>
                <w:szCs w:val="20"/>
              </w:rPr>
              <w:t xml:space="preserve">Correction to earlier verbal advice</w:t>
            </w:r>
          </w:p>
          <w:p>
            <w:pPr>
              <w:spacing w:after="0" w:line="276"/>
            </w:pPr>
            <w:r>
              <w:rPr>
                <w:sz w:val="21"/>
                <w:szCs w:val="21"/>
              </w:rPr>
              <w:t xml:space="preserve">An earlier draft of this review suggested pointing an AWS DMS task directly at Db2 LUW as a target. That is not possible from an Aurora source. AWS documentation states that DMS supports Db2 LUW as a target only when the source is Db2 LUW or Db2 for z/OS. Section 5 sets out the options that remain.</w:t>
            </w:r>
          </w:p>
        </w:tc>
      </w:tr>
    </w:tbl>
    <w:p>
      <w:r>
        <w:br w:type="page"/>
      </w:r>
    </w:p>
    <w:p>
      <w:pPr>
        <w:pStyle w:val="Heading1"/>
        <w:spacing w:after="160" w:before="360"/>
      </w:pPr>
      <w:r>
        <w:rPr>
          <w:b/>
          <w:bCs/>
          <w:color w:val="1F3864"/>
          <w:sz w:val="30"/>
          <w:szCs w:val="30"/>
        </w:rPr>
        <w:t xml:space="preserve">3. Blocking and high-severity issues</w:t>
      </w:r>
    </w:p>
    <w:p>
      <w:pPr>
        <w:pStyle w:val="Heading2"/>
        <w:spacing w:after="120" w:before="260"/>
      </w:pPr>
      <w:r>
        <w:rPr>
          <w:b/>
          <w:bCs/>
          <w:color w:val="1F3864"/>
          <w:sz w:val="25"/>
          <w:szCs w:val="25"/>
        </w:rPr>
        <w:t xml:space="preserve">3.1 The ODS delivery path is not implementable as designed</w:t>
      </w:r>
    </w:p>
    <w:p>
      <w:pPr>
        <w:spacing w:after="140" w:line="276"/>
      </w:pPr>
      <w:r>
        <w:rPr>
          <w:b w:val="false"/>
          <w:bCs w:val="false"/>
          <w:i w:val="false"/>
          <w:iCs w:val="false"/>
          <w:sz w:val="21"/>
          <w:szCs w:val="21"/>
        </w:rPr>
        <w:t xml:space="preserve">Section 10 of the original document states that Amazon Data Firehose continuously delivers records into the ODS, which section 12 identifies as mainframe Db2 tables. This cannot be configured.</w:t>
      </w:r>
    </w:p>
    <w:p>
      <w:pPr>
        <w:spacing w:after="140" w:line="276"/>
      </w:pPr>
      <w:r>
        <w:rPr>
          <w:b w:val="false"/>
          <w:bCs w:val="false"/>
          <w:i w:val="false"/>
          <w:iCs w:val="false"/>
          <w:sz w:val="21"/>
          <w:szCs w:val="21"/>
        </w:rPr>
        <w:t xml:space="preserve">Firehose supports a fixed list of destinations: Amazon S3, Amazon Redshift, Amazon OpenSearch Service and OpenSearch Serverless, Snowflake, Apache Iceberg Tables, S3 Tables, Splunk, and custom HTTP endpoints including a set of named third-party providers. Db2 is not among them, and no mainframe destination exists.</w:t>
      </w:r>
    </w:p>
    <w:p>
      <w:pPr>
        <w:spacing w:after="140" w:line="276"/>
      </w:pPr>
      <w:r>
        <w:rPr>
          <w:b w:val="false"/>
          <w:bCs w:val="false"/>
          <w:i w:val="false"/>
          <w:iCs w:val="false"/>
          <w:sz w:val="21"/>
          <w:szCs w:val="21"/>
        </w:rPr>
        <w:t xml:space="preserve">A second problem compounds the first. Firehose performs append-only delivery. Even against a supported destination, it has no mechanism to apply an update or a delete. An ODS that mirrors Aurora must apply all three operation types, so Firehose is the wrong class of service for this leg regardless of the target.</w:t>
      </w:r>
    </w:p>
    <w:p>
      <w:pPr>
        <w:spacing w:after="140" w:line="276"/>
      </w:pPr>
      <w:r>
        <w:rPr>
          <w:b w:val="false"/>
          <w:bCs w:val="false"/>
          <w:i w:val="false"/>
          <w:iCs w:val="false"/>
          <w:sz w:val="21"/>
          <w:szCs w:val="21"/>
        </w:rPr>
        <w:t xml:space="preserve">The obvious alternative, a second DMS task writing directly to Db2, is also unavailable. The AWS DMS documentation states that Db2 LUW is supported as a target only when the source endpoint is Db2 LUW or Db2 for z/OS. An Aurora source is excluded. Separately, Db2 for z/OS is supported by DMS as a source only, and in full-load mode only; change data capture from z/OS is not supported.</w:t>
      </w:r>
    </w:p>
    <w:p>
      <w:pPr>
        <w:spacing w:after="140" w:line="276"/>
      </w:pPr>
      <w:r>
        <w:rPr>
          <w:b w:val="false"/>
          <w:bCs w:val="false"/>
          <w:i w:val="false"/>
          <w:iCs w:val="false"/>
          <w:sz w:val="21"/>
          <w:szCs w:val="21"/>
        </w:rPr>
        <w:t xml:space="preserve">The practical consequence is that there is no fully managed AWS path from Aurora to a Db2 ODS. Section 5 evaluates the options that do exist. This must be settled before build begins, because the answer changes the shape of the pipeline.</w:t>
      </w:r>
    </w:p>
    <w:p>
      <w:pPr>
        <w:pStyle w:val="Heading2"/>
        <w:spacing w:after="120" w:before="260"/>
      </w:pPr>
      <w:r>
        <w:rPr>
          <w:b/>
          <w:bCs/>
          <w:color w:val="1F3864"/>
          <w:sz w:val="25"/>
          <w:szCs w:val="25"/>
        </w:rPr>
        <w:t xml:space="preserve">3.2 Ordering is not preserved end to end</w:t>
      </w:r>
    </w:p>
    <w:p>
      <w:pPr>
        <w:spacing w:after="140" w:line="276"/>
      </w:pPr>
      <w:r>
        <w:rPr>
          <w:b w:val="false"/>
          <w:bCs w:val="false"/>
          <w:i w:val="false"/>
          <w:iCs w:val="false"/>
          <w:sz w:val="21"/>
          <w:szCs w:val="21"/>
        </w:rPr>
        <w:t xml:space="preserve">Change events are order-sensitive. An insert followed by an update followed by a delete for the same row must be applied in that sequence, or the consumer's state diverges from the source. The design does not address ordering at any hop.</w:t>
      </w:r>
    </w:p>
    <w:p>
      <w:pPr>
        <w:pStyle w:val="ListParagraph"/>
        <w:numPr>
          <w:ilvl w:val="0"/>
          <w:numId w:val="2"/>
        </w:numPr>
        <w:spacing w:after="70" w:line="276"/>
      </w:pPr>
      <w:r>
        <w:rPr>
          <w:b/>
          <w:bCs/>
          <w:i w:val="false"/>
          <w:iCs w:val="false"/>
          <w:sz w:val="21"/>
          <w:szCs w:val="21"/>
        </w:rPr>
        <w:t xml:space="preserve">Kinesis: </w:t>
      </w:r>
      <w:r>
        <w:rPr>
          <w:sz w:val="21"/>
          <w:szCs w:val="21"/>
        </w:rPr>
        <w:t xml:space="preserve">ordering is guaranteed only within a shard, and the shard is chosen by partition key. When DMS writes to a Kinesis target, the default partition key is the table's primary key, which gives per-row ordering. Setting it to schema and table name instead preserves per-table ordering but confines an entire table to one shard, capping that table at the single-shard limits of 1 MB per second and 1,000 records per second.</w:t>
      </w:r>
    </w:p>
    <w:p>
      <w:pPr>
        <w:pStyle w:val="ListParagraph"/>
        <w:numPr>
          <w:ilvl w:val="0"/>
          <w:numId w:val="2"/>
        </w:numPr>
        <w:spacing w:after="70" w:line="276"/>
      </w:pPr>
      <w:r>
        <w:rPr>
          <w:b/>
          <w:bCs/>
          <w:i w:val="false"/>
          <w:iCs w:val="false"/>
          <w:sz w:val="21"/>
          <w:szCs w:val="21"/>
        </w:rPr>
        <w:t xml:space="preserve">SNS and SQS: </w:t>
      </w:r>
      <w:r>
        <w:rPr>
          <w:sz w:val="21"/>
          <w:szCs w:val="21"/>
        </w:rPr>
        <w:t xml:space="preserve">standard topics and standard queues make no ordering guarantee. Even with Kinesis ordering correct, the fan-out discards it. A consumer can receive an update before the insert that created the row.</w:t>
      </w:r>
    </w:p>
    <w:p>
      <w:pPr>
        <w:spacing w:after="140" w:line="276"/>
      </w:pPr>
      <w:r>
        <w:rPr>
          <w:b w:val="false"/>
          <w:bCs w:val="false"/>
          <w:i w:val="false"/>
          <w:iCs w:val="false"/>
          <w:sz w:val="21"/>
          <w:szCs w:val="21"/>
        </w:rPr>
        <w:t xml:space="preserve">Two viable resolutions, in order of preference:</w:t>
      </w:r>
    </w:p>
    <w:p>
      <w:pPr>
        <w:pStyle w:val="ListParagraph"/>
        <w:numPr>
          <w:ilvl w:val="0"/>
          <w:numId w:val="3"/>
        </w:numPr>
        <w:spacing w:after="70" w:line="276"/>
      </w:pPr>
      <w:r>
        <w:rPr>
          <w:sz w:val="21"/>
          <w:szCs w:val="21"/>
        </w:rPr>
        <w:t xml:space="preserve">Carry an explicit sequence number or log position in every event and have consumers discard any event older than the last one applied for that entity. This works with standard SNS and SQS, keeps throughput high, and is the more common choice.</w:t>
      </w:r>
    </w:p>
    <w:p>
      <w:pPr>
        <w:pStyle w:val="ListParagraph"/>
        <w:numPr>
          <w:ilvl w:val="0"/>
          <w:numId w:val="3"/>
        </w:numPr>
        <w:spacing w:after="70" w:line="276"/>
      </w:pPr>
      <w:r>
        <w:rPr>
          <w:sz w:val="21"/>
          <w:szCs w:val="21"/>
        </w:rPr>
        <w:t xml:space="preserve">Use an SNS FIFO topic delivering to SQS FIFO queues, with the message group ID set to the entity identifier. Note that SNS FIFO topics can only deliver to SQS FIFO queues, which constrains future subscriber types, and FIFO throughput limits are lower.</w:t>
      </w:r>
    </w:p>
    <w:p>
      <w:pPr>
        <w:pStyle w:val="Heading2"/>
        <w:spacing w:after="120" w:before="260"/>
      </w:pPr>
      <w:r>
        <w:rPr>
          <w:b/>
          <w:bCs/>
          <w:color w:val="1F3864"/>
          <w:sz w:val="25"/>
          <w:szCs w:val="25"/>
        </w:rPr>
        <w:t xml:space="preserve">3.3 Duplicate delivery is guaranteed but unhandled</w:t>
      </w:r>
    </w:p>
    <w:p>
      <w:pPr>
        <w:spacing w:after="140" w:line="276"/>
      </w:pPr>
      <w:r>
        <w:rPr>
          <w:b w:val="false"/>
          <w:bCs w:val="false"/>
          <w:i w:val="false"/>
          <w:iCs w:val="false"/>
          <w:sz w:val="21"/>
          <w:szCs w:val="21"/>
        </w:rPr>
        <w:t xml:space="preserve">Every hop in this pipeline provides at-least-once delivery. AWS documentation is explicit that Kinesis Data Streams does not deduplicate and that consuming applications must handle duplicate records. Firehose likewise uses at-least-once semantics for most destinations. Lambda retries, SNS retries, and SQS standard queues can deliver the same message more than once.</w:t>
      </w:r>
    </w:p>
    <w:p>
      <w:pPr>
        <w:spacing w:after="140" w:line="276"/>
      </w:pPr>
      <w:r>
        <w:rPr>
          <w:b w:val="false"/>
          <w:bCs w:val="false"/>
          <w:i w:val="false"/>
          <w:iCs w:val="false"/>
          <w:sz w:val="21"/>
          <w:szCs w:val="21"/>
        </w:rPr>
        <w:t xml:space="preserve">Duplicates are therefore a certainty, not an edge case. Every event must carry a stable unique identifier, and every consumer must be able to detect and discard an event it has already applied. This should be a stated requirement of the platform, not left to each downstream team to discover in production.</w:t>
      </w:r>
    </w:p>
    <w:p>
      <w:pPr>
        <w:pStyle w:val="Heading2"/>
        <w:spacing w:after="120" w:before="260"/>
      </w:pPr>
      <w:r>
        <w:rPr>
          <w:b/>
          <w:bCs/>
          <w:color w:val="1F3864"/>
          <w:sz w:val="25"/>
          <w:szCs w:val="25"/>
        </w:rPr>
        <w:t xml:space="preserve">3.4 Default Kinesis-to-Lambda error handling will stall the pipeline</w:t>
      </w:r>
    </w:p>
    <w:p>
      <w:pPr>
        <w:spacing w:after="140" w:line="276"/>
      </w:pPr>
      <w:r>
        <w:rPr>
          <w:b w:val="false"/>
          <w:bCs w:val="false"/>
          <w:i w:val="false"/>
          <w:iCs w:val="false"/>
          <w:sz w:val="21"/>
          <w:szCs w:val="21"/>
        </w:rPr>
        <w:t xml:space="preserve">With default event source mapping settings, a batch that fails processing is retried until the records expire from the stream. Because Kinesis preserves per-shard ordering, the failing batch blocks every subsequent record on that shard for the duration. A single malformed record can halt synchronisation for hours.</w:t>
      </w:r>
    </w:p>
    <w:p>
      <w:pPr>
        <w:spacing w:after="140" w:line="276"/>
      </w:pPr>
      <w:r>
        <w:rPr>
          <w:b w:val="false"/>
          <w:bCs w:val="false"/>
          <w:i w:val="false"/>
          <w:iCs w:val="false"/>
          <w:sz w:val="21"/>
          <w:szCs w:val="21"/>
        </w:rPr>
        <w:t xml:space="preserve">The event source mapping must be configured explicitly:</w:t>
      </w:r>
    </w:p>
    <w:p>
      <w:pPr>
        <w:pStyle w:val="ListParagraph"/>
        <w:numPr>
          <w:ilvl w:val="0"/>
          <w:numId w:val="2"/>
        </w:numPr>
        <w:spacing w:after="70" w:line="276"/>
      </w:pPr>
      <w:r>
        <w:rPr>
          <w:sz w:val="21"/>
          <w:szCs w:val="21"/>
        </w:rPr>
        <w:t xml:space="preserve">BisectBatchOnFunctionError set to true, so a failing batch is split to isolate the offending record</w:t>
      </w:r>
    </w:p>
    <w:p>
      <w:pPr>
        <w:pStyle w:val="ListParagraph"/>
        <w:numPr>
          <w:ilvl w:val="0"/>
          <w:numId w:val="2"/>
        </w:numPr>
        <w:spacing w:after="70" w:line="276"/>
      </w:pPr>
      <w:r>
        <w:rPr>
          <w:sz w:val="21"/>
          <w:szCs w:val="21"/>
        </w:rPr>
        <w:t xml:space="preserve">MaximumRetryAttempts set to a finite value rather than the default of infinite retry</w:t>
      </w:r>
    </w:p>
    <w:p>
      <w:pPr>
        <w:pStyle w:val="ListParagraph"/>
        <w:numPr>
          <w:ilvl w:val="0"/>
          <w:numId w:val="2"/>
        </w:numPr>
        <w:spacing w:after="70" w:line="276"/>
      </w:pPr>
      <w:r>
        <w:rPr>
          <w:sz w:val="21"/>
          <w:szCs w:val="21"/>
        </w:rPr>
        <w:t xml:space="preserve">MaximumRecordAgeInSeconds set so that stale records are discarded rather than retried indefinitely</w:t>
      </w:r>
    </w:p>
    <w:p>
      <w:pPr>
        <w:pStyle w:val="ListParagraph"/>
        <w:numPr>
          <w:ilvl w:val="0"/>
          <w:numId w:val="2"/>
        </w:numPr>
        <w:spacing w:after="70" w:line="276"/>
      </w:pPr>
      <w:r>
        <w:rPr>
          <w:sz w:val="21"/>
          <w:szCs w:val="21"/>
        </w:rPr>
        <w:t xml:space="preserve">An on-failure destination configured, so records that exhaust retries land in an SQS queue or SNS topic for inspection rather than being lost</w:t>
      </w:r>
    </w:p>
    <w:p>
      <w:pPr>
        <w:spacing w:after="140" w:line="276"/>
      </w:pPr>
      <w:r>
        <w:rPr>
          <w:b w:val="false"/>
          <w:bCs w:val="false"/>
          <w:i w:val="false"/>
          <w:iCs w:val="false"/>
          <w:sz w:val="21"/>
          <w:szCs w:val="21"/>
        </w:rPr>
        <w:t xml:space="preserve">The original document mentions dead-letter queues only in relation to SQS, which covers the last hop of the pipeline and not this one.</w:t>
      </w:r>
    </w:p>
    <w:p>
      <w:r>
        <w:br w:type="page"/>
      </w:r>
    </w:p>
    <w:p>
      <w:pPr>
        <w:pStyle w:val="Heading1"/>
        <w:spacing w:after="160" w:before="360"/>
      </w:pPr>
      <w:r>
        <w:rPr>
          <w:b/>
          <w:bCs/>
          <w:color w:val="1F3864"/>
          <w:sz w:val="30"/>
          <w:szCs w:val="30"/>
        </w:rPr>
        <w:t xml:space="preserve">4. Structural recommendations</w:t>
      </w:r>
    </w:p>
    <w:p>
      <w:pPr>
        <w:pStyle w:val="Heading2"/>
        <w:spacing w:after="120" w:before="260"/>
      </w:pPr>
      <w:r>
        <w:rPr>
          <w:b/>
          <w:bCs/>
          <w:color w:val="1F3864"/>
          <w:sz w:val="25"/>
          <w:szCs w:val="25"/>
        </w:rPr>
        <w:t xml:space="preserve">4.1 Adopt the transactional outbox pattern</w:t>
      </w:r>
    </w:p>
    <w:p>
      <w:pPr>
        <w:spacing w:after="140" w:line="276"/>
      </w:pPr>
      <w:r>
        <w:rPr>
          <w:b w:val="false"/>
          <w:bCs w:val="false"/>
          <w:i w:val="false"/>
          <w:iCs w:val="false"/>
          <w:sz w:val="21"/>
          <w:szCs w:val="21"/>
        </w:rPr>
        <w:t xml:space="preserve">This is the single highest-value change and should be treated as the centrepiece of the revision.</w:t>
      </w:r>
    </w:p>
    <w:p>
      <w:pPr>
        <w:spacing w:after="140" w:line="276"/>
      </w:pPr>
      <w:r>
        <w:rPr>
          <w:b w:val="false"/>
          <w:bCs w:val="false"/>
          <w:i w:val="false"/>
          <w:iCs w:val="false"/>
          <w:sz w:val="21"/>
          <w:szCs w:val="21"/>
        </w:rPr>
        <w:t xml:space="preserve">In the current design, raw row-level changes from Aurora tables are published to downstream systems. That makes every consumer dependent on the internal structure of the operational database. Adding a column, renaming one, or splitting a table becomes a coordinated change across every subscribing team. The design states in section 12 that it decouples producers from consumers, but publishing table diffs achieves the opposite.</w:t>
      </w:r>
    </w:p>
    <w:p>
      <w:pPr>
        <w:spacing w:after="140" w:line="276"/>
      </w:pPr>
      <w:r>
        <w:rPr>
          <w:b w:val="false"/>
          <w:bCs w:val="false"/>
          <w:i w:val="false"/>
          <w:iCs w:val="false"/>
          <w:sz w:val="21"/>
          <w:szCs w:val="21"/>
        </w:rPr>
        <w:t xml:space="preserve">The outbox pattern resolves this. The application writes an explicit business event to an outbox table inside the same database transaction as the business data change. Change data capture then reads only the outbox table. Consumers subscribe to events such as OrderShipped or CustomerAddressChanged rather than to a difference between two versions of a row.</w:t>
      </w:r>
    </w:p>
    <w:p>
      <w:pPr>
        <w:spacing w:after="140" w:line="276"/>
      </w:pPr>
      <w:r>
        <w:rPr>
          <w:b w:val="false"/>
          <w:bCs w:val="false"/>
          <w:i w:val="false"/>
          <w:iCs w:val="false"/>
          <w:sz w:val="21"/>
          <w:szCs w:val="21"/>
        </w:rPr>
        <w:t xml:space="preserve">The benefits compound:</w:t>
      </w:r>
    </w:p>
    <w:p>
      <w:pPr>
        <w:pStyle w:val="ListParagraph"/>
        <w:numPr>
          <w:ilvl w:val="0"/>
          <w:numId w:val="2"/>
        </w:numPr>
        <w:spacing w:after="70" w:line="276"/>
      </w:pPr>
      <w:r>
        <w:rPr>
          <w:sz w:val="21"/>
          <w:szCs w:val="21"/>
        </w:rPr>
        <w:t xml:space="preserve">Consumers depend on a contract the platform team owns and versions, not on the Aurora schema</w:t>
      </w:r>
    </w:p>
    <w:p>
      <w:pPr>
        <w:pStyle w:val="ListParagraph"/>
        <w:numPr>
          <w:ilvl w:val="0"/>
          <w:numId w:val="2"/>
        </w:numPr>
        <w:spacing w:after="70" w:line="276"/>
      </w:pPr>
      <w:r>
        <w:rPr>
          <w:sz w:val="21"/>
          <w:szCs w:val="21"/>
        </w:rPr>
        <w:t xml:space="preserve">The CDC task reads one narrow, append-only table instead of every business table, which simplifies configuration and reduces load</w:t>
      </w:r>
    </w:p>
    <w:p>
      <w:pPr>
        <w:pStyle w:val="ListParagraph"/>
        <w:numPr>
          <w:ilvl w:val="0"/>
          <w:numId w:val="2"/>
        </w:numPr>
        <w:spacing w:after="70" w:line="276"/>
      </w:pPr>
      <w:r>
        <w:rPr>
          <w:sz w:val="21"/>
          <w:szCs w:val="21"/>
        </w:rPr>
        <w:t xml:space="preserve">The partition key is written by the application, so per-entity ordering is under explicit control</w:t>
      </w:r>
    </w:p>
    <w:p>
      <w:pPr>
        <w:pStyle w:val="ListParagraph"/>
        <w:numPr>
          <w:ilvl w:val="0"/>
          <w:numId w:val="2"/>
        </w:numPr>
        <w:spacing w:after="70" w:line="276"/>
      </w:pPr>
      <w:r>
        <w:rPr>
          <w:sz w:val="21"/>
          <w:szCs w:val="21"/>
        </w:rPr>
        <w:t xml:space="preserve">Internal columns and physical deletes are never exposed outside the owning service</w:t>
      </w:r>
    </w:p>
    <w:p>
      <w:pPr>
        <w:pStyle w:val="ListParagraph"/>
        <w:numPr>
          <w:ilvl w:val="0"/>
          <w:numId w:val="2"/>
        </w:numPr>
        <w:spacing w:after="70" w:line="276"/>
      </w:pPr>
      <w:r>
        <w:rPr>
          <w:sz w:val="21"/>
          <w:szCs w:val="21"/>
        </w:rPr>
        <w:t xml:space="preserve">Atomicity is preserved: the event and the data change commit or roll back together, so there is no window in which one exists without the other</w:t>
      </w:r>
    </w:p>
    <w:p>
      <w:pPr>
        <w:spacing w:after="140" w:line="276"/>
      </w:pPr>
      <w:r>
        <w:rPr>
          <w:b w:val="false"/>
          <w:bCs w:val="false"/>
          <w:i w:val="false"/>
          <w:iCs w:val="false"/>
          <w:sz w:val="21"/>
          <w:szCs w:val="21"/>
        </w:rPr>
        <w:t xml:space="preserve">The cost is real and should be stated plainly: this requires application changes, a new table, and a housekeeping job to prune published rows. That cost is why the pattern is worth deciding on now rather than retrofitting after consumers exist.</w:t>
      </w:r>
    </w:p>
    <w:p>
      <w:pPr>
        <w:pStyle w:val="Heading2"/>
        <w:spacing w:after="120" w:before="260"/>
      </w:pPr>
      <w:r>
        <w:rPr>
          <w:b/>
          <w:bCs/>
          <w:color w:val="1F3864"/>
          <w:sz w:val="25"/>
          <w:szCs w:val="25"/>
        </w:rPr>
        <w:t xml:space="preserve">4.2 Separate the two pipelines</w:t>
      </w:r>
    </w:p>
    <w:p>
      <w:pPr>
        <w:spacing w:after="140" w:line="276"/>
      </w:pPr>
      <w:r>
        <w:rPr>
          <w:b w:val="false"/>
          <w:bCs w:val="false"/>
          <w:i w:val="false"/>
          <w:iCs w:val="false"/>
          <w:sz w:val="21"/>
          <w:szCs w:val="21"/>
        </w:rPr>
        <w:t xml:space="preserve">The current design routes both workloads through one Kinesis stream. They have different requirements and should be separated.</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shd w:fill="1F3864" w:val="clear"/>
            <w:tcMar>
              <w:top w:type="dxa" w:w="90"/>
              <w:left w:type="dxa" w:w="110"/>
              <w:bottom w:type="dxa" w:w="90"/>
              <w:right w:type="dxa" w:w="110"/>
            </w:tcMar>
          </w:tcPr>
          <w:p>
            <w:r>
              <w:rPr>
                <w:b/>
                <w:bCs/>
                <w:color w:val="FFFFFF"/>
                <w:sz w:val="19"/>
                <w:szCs w:val="19"/>
              </w:rPr>
              <w:t xml:space="preserve">Dimension</w:t>
            </w:r>
          </w:p>
        </w:tc>
        <w:tc>
          <w:tcPr>
            <w:tcW w:type="dxa" w:w="3830"/>
            <w:shd w:fill="1F3864" w:val="clear"/>
            <w:tcMar>
              <w:top w:type="dxa" w:w="90"/>
              <w:left w:type="dxa" w:w="110"/>
              <w:bottom w:type="dxa" w:w="90"/>
              <w:right w:type="dxa" w:w="110"/>
            </w:tcMar>
          </w:tcPr>
          <w:p>
            <w:r>
              <w:rPr>
                <w:b/>
                <w:bCs/>
                <w:color w:val="FFFFFF"/>
                <w:sz w:val="19"/>
                <w:szCs w:val="19"/>
              </w:rPr>
              <w:t xml:space="preserve">Event notification path</w:t>
            </w:r>
          </w:p>
        </w:tc>
        <w:tc>
          <w:tcPr>
            <w:tcW w:type="dxa" w:w="3830"/>
            <w:shd w:fill="1F3864" w:val="clear"/>
            <w:tcMar>
              <w:top w:type="dxa" w:w="90"/>
              <w:left w:type="dxa" w:w="110"/>
              <w:bottom w:type="dxa" w:w="90"/>
              <w:right w:type="dxa" w:w="110"/>
            </w:tcMar>
          </w:tcPr>
          <w:p>
            <w:r>
              <w:rPr>
                <w:b/>
                <w:bCs/>
                <w:color w:val="FFFFFF"/>
                <w:sz w:val="19"/>
                <w:szCs w:val="19"/>
              </w:rPr>
              <w:t xml:space="preserve">ODS replication path</w:t>
            </w:r>
          </w:p>
        </w:tc>
      </w:tr>
      <w:tr>
        <w:tc>
          <w:tcPr>
            <w:tcW w:type="dxa" w:w="1700"/>
            <w:shd w:fill="FFFFFF" w:val="clear"/>
            <w:tcMar>
              <w:top w:type="dxa" w:w="90"/>
              <w:left w:type="dxa" w:w="110"/>
              <w:bottom w:type="dxa" w:w="90"/>
              <w:right w:type="dxa" w:w="110"/>
            </w:tcMar>
          </w:tcPr>
          <w:p>
            <w:pPr>
              <w:spacing w:after="0" w:line="264"/>
            </w:pPr>
            <w:r>
              <w:rPr>
                <w:b/>
                <w:bCs/>
                <w:sz w:val="19"/>
                <w:szCs w:val="19"/>
              </w:rPr>
              <w:t xml:space="preserve">Data</w:t>
            </w:r>
          </w:p>
        </w:tc>
        <w:tc>
          <w:tcPr>
            <w:tcW w:type="dxa" w:w="3830"/>
            <w:shd w:fill="FFFFFF" w:val="clear"/>
            <w:tcMar>
              <w:top w:type="dxa" w:w="90"/>
              <w:left w:type="dxa" w:w="110"/>
              <w:bottom w:type="dxa" w:w="90"/>
              <w:right w:type="dxa" w:w="110"/>
            </w:tcMar>
          </w:tcPr>
          <w:p>
            <w:pPr>
              <w:spacing w:after="0" w:line="264"/>
            </w:pPr>
            <w:r>
              <w:rPr>
                <w:b w:val="false"/>
                <w:bCs w:val="false"/>
                <w:sz w:val="19"/>
                <w:szCs w:val="19"/>
              </w:rPr>
              <w:t xml:space="preserve">Business events from the outbox</w:t>
            </w:r>
          </w:p>
        </w:tc>
        <w:tc>
          <w:tcPr>
            <w:tcW w:type="dxa" w:w="3830"/>
            <w:shd w:fill="FFFFFF" w:val="clear"/>
            <w:tcMar>
              <w:top w:type="dxa" w:w="90"/>
              <w:left w:type="dxa" w:w="110"/>
              <w:bottom w:type="dxa" w:w="90"/>
              <w:right w:type="dxa" w:w="110"/>
            </w:tcMar>
          </w:tcPr>
          <w:p>
            <w:pPr>
              <w:spacing w:after="0" w:line="264"/>
            </w:pPr>
            <w:r>
              <w:rPr>
                <w:b w:val="false"/>
                <w:bCs w:val="false"/>
                <w:sz w:val="19"/>
                <w:szCs w:val="19"/>
              </w:rPr>
              <w:t xml:space="preserve">Raw row changes from base tables</w:t>
            </w:r>
          </w:p>
        </w:tc>
      </w:tr>
      <w:tr>
        <w:tc>
          <w:tcPr>
            <w:tcW w:type="dxa" w:w="1700"/>
            <w:shd w:fill="F2F5F9" w:val="clear"/>
            <w:tcMar>
              <w:top w:type="dxa" w:w="90"/>
              <w:left w:type="dxa" w:w="110"/>
              <w:bottom w:type="dxa" w:w="90"/>
              <w:right w:type="dxa" w:w="110"/>
            </w:tcMar>
          </w:tcPr>
          <w:p>
            <w:pPr>
              <w:spacing w:after="0" w:line="264"/>
            </w:pPr>
            <w:r>
              <w:rPr>
                <w:b/>
                <w:bCs/>
                <w:sz w:val="19"/>
                <w:szCs w:val="19"/>
              </w:rPr>
              <w:t xml:space="preserve">Semantics</w:t>
            </w:r>
          </w:p>
        </w:tc>
        <w:tc>
          <w:tcPr>
            <w:tcW w:type="dxa" w:w="3830"/>
            <w:shd w:fill="F2F5F9" w:val="clear"/>
            <w:tcMar>
              <w:top w:type="dxa" w:w="90"/>
              <w:left w:type="dxa" w:w="110"/>
              <w:bottom w:type="dxa" w:w="90"/>
              <w:right w:type="dxa" w:w="110"/>
            </w:tcMar>
          </w:tcPr>
          <w:p>
            <w:pPr>
              <w:spacing w:after="0" w:line="264"/>
            </w:pPr>
            <w:r>
              <w:rPr>
                <w:b w:val="false"/>
                <w:bCs w:val="false"/>
                <w:sz w:val="19"/>
                <w:szCs w:val="19"/>
              </w:rPr>
              <w:t xml:space="preserve">Append-only facts</w:t>
            </w:r>
          </w:p>
        </w:tc>
        <w:tc>
          <w:tcPr>
            <w:tcW w:type="dxa" w:w="3830"/>
            <w:shd w:fill="F2F5F9" w:val="clear"/>
            <w:tcMar>
              <w:top w:type="dxa" w:w="90"/>
              <w:left w:type="dxa" w:w="110"/>
              <w:bottom w:type="dxa" w:w="90"/>
              <w:right w:type="dxa" w:w="110"/>
            </w:tcMar>
          </w:tcPr>
          <w:p>
            <w:pPr>
              <w:spacing w:after="0" w:line="264"/>
            </w:pPr>
            <w:r>
              <w:rPr>
                <w:b w:val="false"/>
                <w:bCs w:val="false"/>
                <w:sz w:val="19"/>
                <w:szCs w:val="19"/>
              </w:rPr>
              <w:t xml:space="preserve">Upsert and delete applied to a mirror</w:t>
            </w:r>
          </w:p>
        </w:tc>
      </w:tr>
      <w:tr>
        <w:tc>
          <w:tcPr>
            <w:tcW w:type="dxa" w:w="1700"/>
            <w:shd w:fill="FFFFFF" w:val="clear"/>
            <w:tcMar>
              <w:top w:type="dxa" w:w="90"/>
              <w:left w:type="dxa" w:w="110"/>
              <w:bottom w:type="dxa" w:w="90"/>
              <w:right w:type="dxa" w:w="110"/>
            </w:tcMar>
          </w:tcPr>
          <w:p>
            <w:pPr>
              <w:spacing w:after="0" w:line="264"/>
            </w:pPr>
            <w:r>
              <w:rPr>
                <w:b/>
                <w:bCs/>
                <w:sz w:val="19"/>
                <w:szCs w:val="19"/>
              </w:rPr>
              <w:t xml:space="preserve">Consumer</w:t>
            </w:r>
          </w:p>
        </w:tc>
        <w:tc>
          <w:tcPr>
            <w:tcW w:type="dxa" w:w="3830"/>
            <w:shd w:fill="FFFFFF" w:val="clear"/>
            <w:tcMar>
              <w:top w:type="dxa" w:w="90"/>
              <w:left w:type="dxa" w:w="110"/>
              <w:bottom w:type="dxa" w:w="90"/>
              <w:right w:type="dxa" w:w="110"/>
            </w:tcMar>
          </w:tcPr>
          <w:p>
            <w:pPr>
              <w:spacing w:after="0" w:line="264"/>
            </w:pPr>
            <w:r>
              <w:rPr>
                <w:b w:val="false"/>
                <w:bCs w:val="false"/>
                <w:sz w:val="19"/>
                <w:szCs w:val="19"/>
              </w:rPr>
              <w:t xml:space="preserve">Multiple independent applications</w:t>
            </w:r>
          </w:p>
        </w:tc>
        <w:tc>
          <w:tcPr>
            <w:tcW w:type="dxa" w:w="3830"/>
            <w:shd w:fill="FFFFFF" w:val="clear"/>
            <w:tcMar>
              <w:top w:type="dxa" w:w="90"/>
              <w:left w:type="dxa" w:w="110"/>
              <w:bottom w:type="dxa" w:w="90"/>
              <w:right w:type="dxa" w:w="110"/>
            </w:tcMar>
          </w:tcPr>
          <w:p>
            <w:pPr>
              <w:spacing w:after="0" w:line="264"/>
            </w:pPr>
            <w:r>
              <w:rPr>
                <w:b w:val="false"/>
                <w:bCs w:val="false"/>
                <w:sz w:val="19"/>
                <w:szCs w:val="19"/>
              </w:rPr>
              <w:t xml:space="preserve">One reporting store</w:t>
            </w:r>
          </w:p>
        </w:tc>
      </w:tr>
      <w:tr>
        <w:tc>
          <w:tcPr>
            <w:tcW w:type="dxa" w:w="1700"/>
            <w:shd w:fill="F2F5F9" w:val="clear"/>
            <w:tcMar>
              <w:top w:type="dxa" w:w="90"/>
              <w:left w:type="dxa" w:w="110"/>
              <w:bottom w:type="dxa" w:w="90"/>
              <w:right w:type="dxa" w:w="110"/>
            </w:tcMar>
          </w:tcPr>
          <w:p>
            <w:pPr>
              <w:spacing w:after="0" w:line="264"/>
            </w:pPr>
            <w:r>
              <w:rPr>
                <w:b/>
                <w:bCs/>
                <w:sz w:val="19"/>
                <w:szCs w:val="19"/>
              </w:rPr>
              <w:t xml:space="preserve">Latency need</w:t>
            </w:r>
          </w:p>
        </w:tc>
        <w:tc>
          <w:tcPr>
            <w:tcW w:type="dxa" w:w="3830"/>
            <w:shd w:fill="F2F5F9" w:val="clear"/>
            <w:tcMar>
              <w:top w:type="dxa" w:w="90"/>
              <w:left w:type="dxa" w:w="110"/>
              <w:bottom w:type="dxa" w:w="90"/>
              <w:right w:type="dxa" w:w="110"/>
            </w:tcMar>
          </w:tcPr>
          <w:p>
            <w:pPr>
              <w:spacing w:after="0" w:line="264"/>
            </w:pPr>
            <w:r>
              <w:rPr>
                <w:b w:val="false"/>
                <w:bCs w:val="false"/>
                <w:sz w:val="19"/>
                <w:szCs w:val="19"/>
              </w:rPr>
              <w:t xml:space="preserve">Seconds</w:t>
            </w:r>
          </w:p>
        </w:tc>
        <w:tc>
          <w:tcPr>
            <w:tcW w:type="dxa" w:w="3830"/>
            <w:shd w:fill="F2F5F9" w:val="clear"/>
            <w:tcMar>
              <w:top w:type="dxa" w:w="90"/>
              <w:left w:type="dxa" w:w="110"/>
              <w:bottom w:type="dxa" w:w="90"/>
              <w:right w:type="dxa" w:w="110"/>
            </w:tcMar>
          </w:tcPr>
          <w:p>
            <w:pPr>
              <w:spacing w:after="0" w:line="264"/>
            </w:pPr>
            <w:r>
              <w:rPr>
                <w:b w:val="false"/>
                <w:bCs w:val="false"/>
                <w:sz w:val="19"/>
                <w:szCs w:val="19"/>
              </w:rPr>
              <w:t xml:space="preserve">Tolerant of minutes</w:t>
            </w:r>
          </w:p>
        </w:tc>
      </w:tr>
      <w:tr>
        <w:tc>
          <w:tcPr>
            <w:tcW w:type="dxa" w:w="1700"/>
            <w:shd w:fill="FFFFFF" w:val="clear"/>
            <w:tcMar>
              <w:top w:type="dxa" w:w="90"/>
              <w:left w:type="dxa" w:w="110"/>
              <w:bottom w:type="dxa" w:w="90"/>
              <w:right w:type="dxa" w:w="110"/>
            </w:tcMar>
          </w:tcPr>
          <w:p>
            <w:pPr>
              <w:spacing w:after="0" w:line="264"/>
            </w:pPr>
            <w:r>
              <w:rPr>
                <w:b/>
                <w:bCs/>
                <w:sz w:val="19"/>
                <w:szCs w:val="19"/>
              </w:rPr>
              <w:t xml:space="preserve">Failure impact</w:t>
            </w:r>
          </w:p>
        </w:tc>
        <w:tc>
          <w:tcPr>
            <w:tcW w:type="dxa" w:w="3830"/>
            <w:shd w:fill="FFFFFF" w:val="clear"/>
            <w:tcMar>
              <w:top w:type="dxa" w:w="90"/>
              <w:left w:type="dxa" w:w="110"/>
              <w:bottom w:type="dxa" w:w="90"/>
              <w:right w:type="dxa" w:w="110"/>
            </w:tcMar>
          </w:tcPr>
          <w:p>
            <w:pPr>
              <w:spacing w:after="0" w:line="264"/>
            </w:pPr>
            <w:r>
              <w:rPr>
                <w:b w:val="false"/>
                <w:bCs w:val="false"/>
                <w:sz w:val="19"/>
                <w:szCs w:val="19"/>
              </w:rPr>
              <w:t xml:space="preserve">Downstream systems stop receiving updates</w:t>
            </w:r>
          </w:p>
        </w:tc>
        <w:tc>
          <w:tcPr>
            <w:tcW w:type="dxa" w:w="3830"/>
            <w:shd w:fill="FFFFFF" w:val="clear"/>
            <w:tcMar>
              <w:top w:type="dxa" w:w="90"/>
              <w:left w:type="dxa" w:w="110"/>
              <w:bottom w:type="dxa" w:w="90"/>
              <w:right w:type="dxa" w:w="110"/>
            </w:tcMar>
          </w:tcPr>
          <w:p>
            <w:pPr>
              <w:spacing w:after="0" w:line="264"/>
            </w:pPr>
            <w:r>
              <w:rPr>
                <w:b w:val="false"/>
                <w:bCs w:val="false"/>
                <w:sz w:val="19"/>
                <w:szCs w:val="19"/>
              </w:rPr>
              <w:t xml:space="preserve">Reports go stale</w:t>
            </w:r>
          </w:p>
        </w:tc>
      </w:tr>
    </w:tbl>
    <w:p>
      <w:pPr>
        <w:spacing w:after="160"/>
      </w:pPr>
      <w:r>
        <w:rPr>
          <w:sz w:val="2"/>
          <w:szCs w:val="2"/>
        </w:rPr>
        <w:t xml:space="preserve"/>
      </w:r>
    </w:p>
    <w:p>
      <w:pPr>
        <w:spacing w:after="140" w:line="276"/>
      </w:pPr>
      <w:r>
        <w:rPr>
          <w:b w:val="false"/>
          <w:bCs w:val="false"/>
          <w:i w:val="false"/>
          <w:iCs w:val="false"/>
          <w:sz w:val="21"/>
          <w:szCs w:val="21"/>
        </w:rPr>
        <w:t xml:space="preserve">Running them separately means a failure in the ODS leg, which is the more fragile of the two, cannot stall event delivery. It also allows retention, shard count, and alerting thresholds to be tuned independently. The reporting path and the integration path fail for different reasons and should not share a blast radius.</w:t>
      </w:r>
    </w:p>
    <w:p>
      <w:pPr>
        <w:pStyle w:val="Heading2"/>
        <w:spacing w:after="120" w:before="260"/>
      </w:pPr>
      <w:r>
        <w:rPr>
          <w:b/>
          <w:bCs/>
          <w:color w:val="1F3864"/>
          <w:sz w:val="25"/>
          <w:szCs w:val="25"/>
        </w:rPr>
        <w:t xml:space="preserve">4.3 Define the event contract before consumers exist</w:t>
      </w:r>
    </w:p>
    <w:p>
      <w:pPr>
        <w:spacing w:after="140" w:line="276"/>
      </w:pPr>
      <w:r>
        <w:rPr>
          <w:b w:val="false"/>
          <w:bCs w:val="false"/>
          <w:i w:val="false"/>
          <w:iCs w:val="false"/>
          <w:sz w:val="21"/>
          <w:szCs w:val="21"/>
        </w:rPr>
        <w:t xml:space="preserve">Every event should carry a fixed envelope, agreed and versioned before the first consumer is onboarded. A minimum set:</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90"/>
              <w:left w:type="dxa" w:w="110"/>
              <w:bottom w:type="dxa" w:w="90"/>
              <w:right w:type="dxa" w:w="110"/>
            </w:tcMar>
          </w:tcPr>
          <w:p>
            <w:r>
              <w:rPr>
                <w:b/>
                <w:bCs/>
                <w:color w:val="FFFFFF"/>
                <w:sz w:val="19"/>
                <w:szCs w:val="19"/>
              </w:rPr>
              <w:t xml:space="preserve">Field</w:t>
            </w:r>
          </w:p>
        </w:tc>
        <w:tc>
          <w:tcPr>
            <w:tcW w:type="dxa" w:w="7460"/>
            <w:shd w:fill="1F3864" w:val="clear"/>
            <w:tcMar>
              <w:top w:type="dxa" w:w="90"/>
              <w:left w:type="dxa" w:w="110"/>
              <w:bottom w:type="dxa" w:w="90"/>
              <w:right w:type="dxa" w:w="110"/>
            </w:tcMar>
          </w:tcPr>
          <w:p>
            <w:r>
              <w:rPr>
                <w:b/>
                <w:bCs/>
                <w:color w:val="FFFFFF"/>
                <w:sz w:val="19"/>
                <w:szCs w:val="19"/>
              </w:rPr>
              <w:t xml:space="preserve">Purpose</w:t>
            </w:r>
          </w:p>
        </w:tc>
      </w:tr>
      <w:tr>
        <w:tc>
          <w:tcPr>
            <w:tcW w:type="dxa" w:w="1900"/>
            <w:shd w:fill="FFFFFF" w:val="clear"/>
            <w:tcMar>
              <w:top w:type="dxa" w:w="90"/>
              <w:left w:type="dxa" w:w="110"/>
              <w:bottom w:type="dxa" w:w="90"/>
              <w:right w:type="dxa" w:w="110"/>
            </w:tcMar>
          </w:tcPr>
          <w:p>
            <w:pPr>
              <w:spacing w:after="0" w:line="264"/>
            </w:pPr>
            <w:r>
              <w:rPr>
                <w:b/>
                <w:bCs/>
                <w:sz w:val="19"/>
                <w:szCs w:val="19"/>
              </w:rPr>
              <w:t xml:space="preserve">event_id</w:t>
            </w:r>
          </w:p>
        </w:tc>
        <w:tc>
          <w:tcPr>
            <w:tcW w:type="dxa" w:w="7460"/>
            <w:shd w:fill="FFFFFF" w:val="clear"/>
            <w:tcMar>
              <w:top w:type="dxa" w:w="90"/>
              <w:left w:type="dxa" w:w="110"/>
              <w:bottom w:type="dxa" w:w="90"/>
              <w:right w:type="dxa" w:w="110"/>
            </w:tcMar>
          </w:tcPr>
          <w:p>
            <w:pPr>
              <w:spacing w:after="0" w:line="264"/>
            </w:pPr>
            <w:r>
              <w:rPr>
                <w:b w:val="false"/>
                <w:bCs w:val="false"/>
                <w:sz w:val="19"/>
                <w:szCs w:val="19"/>
              </w:rPr>
              <w:t xml:space="preserve">Globally unique. The idempotency key consumers deduplicate on.</w:t>
            </w:r>
          </w:p>
        </w:tc>
      </w:tr>
      <w:tr>
        <w:tc>
          <w:tcPr>
            <w:tcW w:type="dxa" w:w="1900"/>
            <w:shd w:fill="F2F5F9" w:val="clear"/>
            <w:tcMar>
              <w:top w:type="dxa" w:w="90"/>
              <w:left w:type="dxa" w:w="110"/>
              <w:bottom w:type="dxa" w:w="90"/>
              <w:right w:type="dxa" w:w="110"/>
            </w:tcMar>
          </w:tcPr>
          <w:p>
            <w:pPr>
              <w:spacing w:after="0" w:line="264"/>
            </w:pPr>
            <w:r>
              <w:rPr>
                <w:b/>
                <w:bCs/>
                <w:sz w:val="19"/>
                <w:szCs w:val="19"/>
              </w:rPr>
              <w:t xml:space="preserve">event_type</w:t>
            </w:r>
          </w:p>
        </w:tc>
        <w:tc>
          <w:tcPr>
            <w:tcW w:type="dxa" w:w="7460"/>
            <w:shd w:fill="F2F5F9" w:val="clear"/>
            <w:tcMar>
              <w:top w:type="dxa" w:w="90"/>
              <w:left w:type="dxa" w:w="110"/>
              <w:bottom w:type="dxa" w:w="90"/>
              <w:right w:type="dxa" w:w="110"/>
            </w:tcMar>
          </w:tcPr>
          <w:p>
            <w:pPr>
              <w:spacing w:after="0" w:line="264"/>
            </w:pPr>
            <w:r>
              <w:rPr>
                <w:b w:val="false"/>
                <w:bCs w:val="false"/>
                <w:sz w:val="19"/>
                <w:szCs w:val="19"/>
              </w:rPr>
              <w:t xml:space="preserve">The business event name. Drives SNS filter policies so each queue receives only what it subscribes to.</w:t>
            </w:r>
          </w:p>
        </w:tc>
      </w:tr>
      <w:tr>
        <w:tc>
          <w:tcPr>
            <w:tcW w:type="dxa" w:w="1900"/>
            <w:shd w:fill="FFFFFF" w:val="clear"/>
            <w:tcMar>
              <w:top w:type="dxa" w:w="90"/>
              <w:left w:type="dxa" w:w="110"/>
              <w:bottom w:type="dxa" w:w="90"/>
              <w:right w:type="dxa" w:w="110"/>
            </w:tcMar>
          </w:tcPr>
          <w:p>
            <w:pPr>
              <w:spacing w:after="0" w:line="264"/>
            </w:pPr>
            <w:r>
              <w:rPr>
                <w:b/>
                <w:bCs/>
                <w:sz w:val="19"/>
                <w:szCs w:val="19"/>
              </w:rPr>
              <w:t xml:space="preserve">aggregate_id</w:t>
            </w:r>
          </w:p>
        </w:tc>
        <w:tc>
          <w:tcPr>
            <w:tcW w:type="dxa" w:w="7460"/>
            <w:shd w:fill="FFFFFF" w:val="clear"/>
            <w:tcMar>
              <w:top w:type="dxa" w:w="90"/>
              <w:left w:type="dxa" w:w="110"/>
              <w:bottom w:type="dxa" w:w="90"/>
              <w:right w:type="dxa" w:w="110"/>
            </w:tcMar>
          </w:tcPr>
          <w:p>
            <w:pPr>
              <w:spacing w:after="0" w:line="264"/>
            </w:pPr>
            <w:r>
              <w:rPr>
                <w:b w:val="false"/>
                <w:bCs w:val="false"/>
                <w:sz w:val="19"/>
                <w:szCs w:val="19"/>
              </w:rPr>
              <w:t xml:space="preserve">The entity the event concerns. Used as the Kinesis partition key and, if FIFO is adopted, the message group ID.</w:t>
            </w:r>
          </w:p>
        </w:tc>
      </w:tr>
      <w:tr>
        <w:tc>
          <w:tcPr>
            <w:tcW w:type="dxa" w:w="1900"/>
            <w:shd w:fill="F2F5F9" w:val="clear"/>
            <w:tcMar>
              <w:top w:type="dxa" w:w="90"/>
              <w:left w:type="dxa" w:w="110"/>
              <w:bottom w:type="dxa" w:w="90"/>
              <w:right w:type="dxa" w:w="110"/>
            </w:tcMar>
          </w:tcPr>
          <w:p>
            <w:pPr>
              <w:spacing w:after="0" w:line="264"/>
            </w:pPr>
            <w:r>
              <w:rPr>
                <w:b/>
                <w:bCs/>
                <w:sz w:val="19"/>
                <w:szCs w:val="19"/>
              </w:rPr>
              <w:t xml:space="preserve">sequence</w:t>
            </w:r>
          </w:p>
        </w:tc>
        <w:tc>
          <w:tcPr>
            <w:tcW w:type="dxa" w:w="7460"/>
            <w:shd w:fill="F2F5F9" w:val="clear"/>
            <w:tcMar>
              <w:top w:type="dxa" w:w="90"/>
              <w:left w:type="dxa" w:w="110"/>
              <w:bottom w:type="dxa" w:w="90"/>
              <w:right w:type="dxa" w:w="110"/>
            </w:tcMar>
          </w:tcPr>
          <w:p>
            <w:pPr>
              <w:spacing w:after="0" w:line="264"/>
            </w:pPr>
            <w:r>
              <w:rPr>
                <w:b w:val="false"/>
                <w:bCs w:val="false"/>
                <w:sz w:val="19"/>
                <w:szCs w:val="19"/>
              </w:rPr>
              <w:t xml:space="preserve">Monotonic per aggregate. Lets consumers discard out-of-order or replayed events.</w:t>
            </w:r>
          </w:p>
        </w:tc>
      </w:tr>
      <w:tr>
        <w:tc>
          <w:tcPr>
            <w:tcW w:type="dxa" w:w="1900"/>
            <w:shd w:fill="FFFFFF" w:val="clear"/>
            <w:tcMar>
              <w:top w:type="dxa" w:w="90"/>
              <w:left w:type="dxa" w:w="110"/>
              <w:bottom w:type="dxa" w:w="90"/>
              <w:right w:type="dxa" w:w="110"/>
            </w:tcMar>
          </w:tcPr>
          <w:p>
            <w:pPr>
              <w:spacing w:after="0" w:line="264"/>
            </w:pPr>
            <w:r>
              <w:rPr>
                <w:b/>
                <w:bCs/>
                <w:sz w:val="19"/>
                <w:szCs w:val="19"/>
              </w:rPr>
              <w:t xml:space="preserve">occurred_at</w:t>
            </w:r>
          </w:p>
        </w:tc>
        <w:tc>
          <w:tcPr>
            <w:tcW w:type="dxa" w:w="7460"/>
            <w:shd w:fill="FFFFFF" w:val="clear"/>
            <w:tcMar>
              <w:top w:type="dxa" w:w="90"/>
              <w:left w:type="dxa" w:w="110"/>
              <w:bottom w:type="dxa" w:w="90"/>
              <w:right w:type="dxa" w:w="110"/>
            </w:tcMar>
          </w:tcPr>
          <w:p>
            <w:pPr>
              <w:spacing w:after="0" w:line="264"/>
            </w:pPr>
            <w:r>
              <w:rPr>
                <w:b w:val="false"/>
                <w:bCs w:val="false"/>
                <w:sz w:val="19"/>
                <w:szCs w:val="19"/>
              </w:rPr>
              <w:t xml:space="preserve">Source commit time, distinct from delivery time.</w:t>
            </w:r>
          </w:p>
        </w:tc>
      </w:tr>
      <w:tr>
        <w:tc>
          <w:tcPr>
            <w:tcW w:type="dxa" w:w="1900"/>
            <w:shd w:fill="F2F5F9" w:val="clear"/>
            <w:tcMar>
              <w:top w:type="dxa" w:w="90"/>
              <w:left w:type="dxa" w:w="110"/>
              <w:bottom w:type="dxa" w:w="90"/>
              <w:right w:type="dxa" w:w="110"/>
            </w:tcMar>
          </w:tcPr>
          <w:p>
            <w:pPr>
              <w:spacing w:after="0" w:line="264"/>
            </w:pPr>
            <w:r>
              <w:rPr>
                <w:b/>
                <w:bCs/>
                <w:sz w:val="19"/>
                <w:szCs w:val="19"/>
              </w:rPr>
              <w:t xml:space="preserve">schema_version</w:t>
            </w:r>
          </w:p>
        </w:tc>
        <w:tc>
          <w:tcPr>
            <w:tcW w:type="dxa" w:w="7460"/>
            <w:shd w:fill="F2F5F9" w:val="clear"/>
            <w:tcMar>
              <w:top w:type="dxa" w:w="90"/>
              <w:left w:type="dxa" w:w="110"/>
              <w:bottom w:type="dxa" w:w="90"/>
              <w:right w:type="dxa" w:w="110"/>
            </w:tcMar>
          </w:tcPr>
          <w:p>
            <w:pPr>
              <w:spacing w:after="0" w:line="264"/>
            </w:pPr>
            <w:r>
              <w:rPr>
                <w:b w:val="false"/>
                <w:bCs w:val="false"/>
                <w:sz w:val="19"/>
                <w:szCs w:val="19"/>
              </w:rPr>
              <w:t xml:space="preserve">Allows additive evolution without breaking existing consumers.</w:t>
            </w:r>
          </w:p>
        </w:tc>
      </w:tr>
      <w:tr>
        <w:tc>
          <w:tcPr>
            <w:tcW w:type="dxa" w:w="1900"/>
            <w:shd w:fill="FFFFFF" w:val="clear"/>
            <w:tcMar>
              <w:top w:type="dxa" w:w="90"/>
              <w:left w:type="dxa" w:w="110"/>
              <w:bottom w:type="dxa" w:w="90"/>
              <w:right w:type="dxa" w:w="110"/>
            </w:tcMar>
          </w:tcPr>
          <w:p>
            <w:pPr>
              <w:spacing w:after="0" w:line="264"/>
            </w:pPr>
            <w:r>
              <w:rPr>
                <w:b/>
                <w:bCs/>
                <w:sz w:val="19"/>
                <w:szCs w:val="19"/>
              </w:rPr>
              <w:t xml:space="preserve">payload</w:t>
            </w:r>
          </w:p>
        </w:tc>
        <w:tc>
          <w:tcPr>
            <w:tcW w:type="dxa" w:w="7460"/>
            <w:shd w:fill="FFFFFF" w:val="clear"/>
            <w:tcMar>
              <w:top w:type="dxa" w:w="90"/>
              <w:left w:type="dxa" w:w="110"/>
              <w:bottom w:type="dxa" w:w="90"/>
              <w:right w:type="dxa" w:w="110"/>
            </w:tcMar>
          </w:tcPr>
          <w:p>
            <w:pPr>
              <w:spacing w:after="0" w:line="264"/>
            </w:pPr>
            <w:r>
              <w:rPr>
                <w:b w:val="false"/>
                <w:bCs w:val="false"/>
                <w:sz w:val="19"/>
                <w:szCs w:val="19"/>
              </w:rPr>
              <w:t xml:space="preserve">The business data. Kept under 256 KB, or replaced with an S3 pointer if larger.</w:t>
            </w:r>
          </w:p>
        </w:tc>
      </w:tr>
    </w:tbl>
    <w:p>
      <w:pPr>
        <w:spacing w:after="160"/>
      </w:pPr>
      <w:r>
        <w:rPr>
          <w:sz w:val="2"/>
          <w:szCs w:val="2"/>
        </w:rPr>
        <w:t xml:space="preserve"/>
      </w:r>
    </w:p>
    <w:p>
      <w:pPr>
        <w:spacing w:after="140" w:line="276"/>
      </w:pPr>
      <w:r>
        <w:rPr>
          <w:sz w:val="21"/>
          <w:szCs w:val="21"/>
        </w:rPr>
        <w:t xml:space="preserve">A size constraint applies here. Kinesis accepts records up to 1 MB, but SNS and SQS both cap messages at 256 KB. Any event that could exceed 256 KB must use the claim-check pattern: write the payload to S3 and publish a reference. This should be decided now rather than discovered when an unusually large record fails to publish.</w:t>
      </w:r>
    </w:p>
    <w:p>
      <w:pPr>
        <w:spacing w:after="140" w:line="276"/>
      </w:pPr>
      <w:r>
        <w:rPr>
          <w:b w:val="false"/>
          <w:bCs w:val="false"/>
          <w:i w:val="false"/>
          <w:iCs w:val="false"/>
          <w:sz w:val="21"/>
          <w:szCs w:val="21"/>
        </w:rPr>
        <w:t xml:space="preserve">Version the contract additively. New optional fields are safe; removing or repurposing a field requires a new event type.</w:t>
      </w:r>
    </w:p>
    <w:p>
      <w:r>
        <w:br w:type="page"/>
      </w:r>
    </w:p>
    <w:p>
      <w:pPr>
        <w:pStyle w:val="Heading1"/>
        <w:spacing w:after="160" w:before="360"/>
      </w:pPr>
      <w:r>
        <w:rPr>
          <w:b/>
          <w:bCs/>
          <w:color w:val="1F3864"/>
          <w:sz w:val="30"/>
          <w:szCs w:val="30"/>
        </w:rPr>
        <w:t xml:space="preserve">5. Resolving the ODS delivery path</w:t>
      </w:r>
    </w:p>
    <w:p>
      <w:pPr>
        <w:spacing w:after="140" w:line="276"/>
      </w:pPr>
      <w:r>
        <w:rPr>
          <w:b w:val="false"/>
          <w:bCs w:val="false"/>
          <w:i w:val="false"/>
          <w:iCs w:val="false"/>
          <w:sz w:val="21"/>
          <w:szCs w:val="21"/>
        </w:rPr>
        <w:t xml:space="preserve">Given the constraints established in section 3.1, the following options remain. They are listed with the most operationally simple first.</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000"/>
        <w:gridCol w:w="4760"/>
      </w:tblGrid>
      <w:tr>
        <w:trPr>
          <w:tblHeader/>
        </w:trPr>
        <w:tc>
          <w:tcPr>
            <w:tcW w:type="dxa" w:w="2500"/>
            <w:shd w:fill="1F3864" w:val="clear"/>
            <w:tcMar>
              <w:top w:type="dxa" w:w="90"/>
              <w:left w:type="dxa" w:w="110"/>
              <w:bottom w:type="dxa" w:w="90"/>
              <w:right w:type="dxa" w:w="110"/>
            </w:tcMar>
          </w:tcPr>
          <w:p>
            <w:r>
              <w:rPr>
                <w:b/>
                <w:bCs/>
                <w:color w:val="FFFFFF"/>
                <w:sz w:val="19"/>
                <w:szCs w:val="19"/>
              </w:rPr>
              <w:t xml:space="preserve">Option</w:t>
            </w:r>
          </w:p>
        </w:tc>
        <w:tc>
          <w:tcPr>
            <w:tcW w:type="dxa" w:w="1100"/>
            <w:shd w:fill="1F3864" w:val="clear"/>
            <w:tcMar>
              <w:top w:type="dxa" w:w="90"/>
              <w:left w:type="dxa" w:w="110"/>
              <w:bottom w:type="dxa" w:w="90"/>
              <w:right w:type="dxa" w:w="110"/>
            </w:tcMar>
          </w:tcPr>
          <w:p>
            <w:r>
              <w:rPr>
                <w:b/>
                <w:bCs/>
                <w:color w:val="FFFFFF"/>
                <w:sz w:val="19"/>
                <w:szCs w:val="19"/>
              </w:rPr>
              <w:t xml:space="preserve">Viable from Aurora</w:t>
            </w:r>
          </w:p>
        </w:tc>
        <w:tc>
          <w:tcPr>
            <w:tcW w:type="dxa" w:w="1000"/>
            <w:shd w:fill="1F3864" w:val="clear"/>
            <w:tcMar>
              <w:top w:type="dxa" w:w="90"/>
              <w:left w:type="dxa" w:w="110"/>
              <w:bottom w:type="dxa" w:w="90"/>
              <w:right w:type="dxa" w:w="110"/>
            </w:tcMar>
          </w:tcPr>
          <w:p>
            <w:r>
              <w:rPr>
                <w:b/>
                <w:bCs/>
                <w:color w:val="FFFFFF"/>
                <w:sz w:val="19"/>
                <w:szCs w:val="19"/>
              </w:rPr>
              <w:t xml:space="preserve">Latency</w:t>
            </w:r>
          </w:p>
        </w:tc>
        <w:tc>
          <w:tcPr>
            <w:tcW w:type="dxa" w:w="4760"/>
            <w:shd w:fill="1F3864" w:val="clear"/>
            <w:tcMar>
              <w:top w:type="dxa" w:w="90"/>
              <w:left w:type="dxa" w:w="110"/>
              <w:bottom w:type="dxa" w:w="90"/>
              <w:right w:type="dxa" w:w="110"/>
            </w:tcMar>
          </w:tcPr>
          <w:p>
            <w:r>
              <w:rPr>
                <w:b/>
                <w:bCs/>
                <w:color w:val="FFFFFF"/>
                <w:sz w:val="19"/>
                <w:szCs w:val="19"/>
              </w:rPr>
              <w:t xml:space="preserve">Assessment</w:t>
            </w:r>
          </w:p>
        </w:tc>
      </w:tr>
      <w:tr>
        <w:tc>
          <w:tcPr>
            <w:tcW w:type="dxa" w:w="2500"/>
            <w:shd w:fill="FFFFFF" w:val="clear"/>
            <w:tcMar>
              <w:top w:type="dxa" w:w="90"/>
              <w:left w:type="dxa" w:w="110"/>
              <w:bottom w:type="dxa" w:w="90"/>
              <w:right w:type="dxa" w:w="110"/>
            </w:tcMar>
          </w:tcPr>
          <w:p>
            <w:pPr>
              <w:spacing w:after="0" w:line="264"/>
            </w:pPr>
            <w:r>
              <w:rPr>
                <w:b w:val="false"/>
                <w:bCs w:val="false"/>
                <w:sz w:val="19"/>
                <w:szCs w:val="19"/>
              </w:rPr>
              <w:t xml:space="preserve">Re-target the ODS to an AWS-native store: Aurora read replica, Amazon RDS for Db2, Redshift, or S3 with Athena</w:t>
            </w:r>
          </w:p>
        </w:tc>
        <w:tc>
          <w:tcPr>
            <w:tcW w:type="dxa" w:w="1100"/>
            <w:shd w:fill="FFFFFF" w:val="clear"/>
            <w:tcMar>
              <w:top w:type="dxa" w:w="90"/>
              <w:left w:type="dxa" w:w="110"/>
              <w:bottom w:type="dxa" w:w="90"/>
              <w:right w:type="dxa" w:w="110"/>
            </w:tcMar>
          </w:tcPr>
          <w:p>
            <w:pPr>
              <w:spacing w:after="0" w:line="264"/>
            </w:pPr>
            <w:r>
              <w:rPr>
                <w:b w:val="false"/>
                <w:bCs w:val="false"/>
                <w:sz w:val="19"/>
                <w:szCs w:val="19"/>
              </w:rPr>
              <w:t xml:space="preserve">Yes</w:t>
            </w:r>
          </w:p>
        </w:tc>
        <w:tc>
          <w:tcPr>
            <w:tcW w:type="dxa" w:w="1000"/>
            <w:shd w:fill="FFFFFF" w:val="clear"/>
            <w:tcMar>
              <w:top w:type="dxa" w:w="90"/>
              <w:left w:type="dxa" w:w="110"/>
              <w:bottom w:type="dxa" w:w="90"/>
              <w:right w:type="dxa" w:w="110"/>
            </w:tcMar>
          </w:tcPr>
          <w:p>
            <w:pPr>
              <w:spacing w:after="0" w:line="264"/>
            </w:pPr>
            <w:r>
              <w:rPr>
                <w:b w:val="false"/>
                <w:bCs w:val="false"/>
                <w:sz w:val="19"/>
                <w:szCs w:val="19"/>
              </w:rPr>
              <w:t xml:space="preserve">Seconds</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Removes the problem entirely. If the requirement is only that reporting must not contend with production, an Aurora read replica delivers that immediately. Worth challenging the mainframe requirement directly.</w:t>
            </w:r>
          </w:p>
        </w:tc>
      </w:tr>
      <w:tr>
        <w:tc>
          <w:tcPr>
            <w:tcW w:type="dxa" w:w="2500"/>
            <w:shd w:fill="F2F5F9" w:val="clear"/>
            <w:tcMar>
              <w:top w:type="dxa" w:w="90"/>
              <w:left w:type="dxa" w:w="110"/>
              <w:bottom w:type="dxa" w:w="90"/>
              <w:right w:type="dxa" w:w="110"/>
            </w:tcMar>
          </w:tcPr>
          <w:p>
            <w:pPr>
              <w:spacing w:after="0" w:line="264"/>
            </w:pPr>
            <w:r>
              <w:rPr>
                <w:b w:val="false"/>
                <w:bCs w:val="false"/>
                <w:sz w:val="19"/>
                <w:szCs w:val="19"/>
              </w:rPr>
              <w:t xml:space="preserve">Kinesis to Lambda applier writing to Db2 over JDBC or ODBC</w:t>
            </w:r>
          </w:p>
        </w:tc>
        <w:tc>
          <w:tcPr>
            <w:tcW w:type="dxa" w:w="1100"/>
            <w:shd w:fill="F2F5F9" w:val="clear"/>
            <w:tcMar>
              <w:top w:type="dxa" w:w="90"/>
              <w:left w:type="dxa" w:w="110"/>
              <w:bottom w:type="dxa" w:w="90"/>
              <w:right w:type="dxa" w:w="110"/>
            </w:tcMar>
          </w:tcPr>
          <w:p>
            <w:pPr>
              <w:spacing w:after="0" w:line="264"/>
            </w:pPr>
            <w:r>
              <w:rPr>
                <w:b w:val="false"/>
                <w:bCs w:val="false"/>
                <w:sz w:val="19"/>
                <w:szCs w:val="19"/>
              </w:rPr>
              <w:t xml:space="preserve">Yes</w:t>
            </w:r>
          </w:p>
        </w:tc>
        <w:tc>
          <w:tcPr>
            <w:tcW w:type="dxa" w:w="1000"/>
            <w:shd w:fill="F2F5F9" w:val="clear"/>
            <w:tcMar>
              <w:top w:type="dxa" w:w="90"/>
              <w:left w:type="dxa" w:w="110"/>
              <w:bottom w:type="dxa" w:w="90"/>
              <w:right w:type="dxa" w:w="110"/>
            </w:tcMar>
          </w:tcPr>
          <w:p>
            <w:pPr>
              <w:spacing w:after="0" w:line="264"/>
            </w:pPr>
            <w:r>
              <w:rPr>
                <w:b w:val="false"/>
                <w:bCs w:val="false"/>
                <w:sz w:val="19"/>
                <w:szCs w:val="19"/>
              </w:rPr>
              <w:t xml:space="preserve">Seconds</w:t>
            </w:r>
          </w:p>
        </w:tc>
        <w:tc>
          <w:tcPr>
            <w:tcW w:type="dxa" w:w="4760"/>
            <w:shd w:fill="F2F5F9" w:val="clear"/>
            <w:tcMar>
              <w:top w:type="dxa" w:w="90"/>
              <w:left w:type="dxa" w:w="110"/>
              <w:bottom w:type="dxa" w:w="90"/>
              <w:right w:type="dxa" w:w="110"/>
            </w:tcMar>
          </w:tcPr>
          <w:p>
            <w:pPr>
              <w:spacing w:after="0" w:line="264"/>
            </w:pPr>
            <w:r>
              <w:rPr>
                <w:b w:val="false"/>
                <w:bCs w:val="false"/>
                <w:sz w:val="19"/>
                <w:szCs w:val="19"/>
              </w:rPr>
              <w:t xml:space="preserve">Custom code the team owns. Needs a Db2 driver layer, network path via Direct Connect or VPN, and Db2 Connect licensing for z/OS. Applier must handle upsert and delete idempotently.</w:t>
            </w:r>
          </w:p>
        </w:tc>
      </w:tr>
      <w:tr>
        <w:tc>
          <w:tcPr>
            <w:tcW w:type="dxa" w:w="2500"/>
            <w:shd w:fill="FFFFFF" w:val="clear"/>
            <w:tcMar>
              <w:top w:type="dxa" w:w="90"/>
              <w:left w:type="dxa" w:w="110"/>
              <w:bottom w:type="dxa" w:w="90"/>
              <w:right w:type="dxa" w:w="110"/>
            </w:tcMar>
          </w:tcPr>
          <w:p>
            <w:pPr>
              <w:spacing w:after="0" w:line="264"/>
            </w:pPr>
            <w:r>
              <w:rPr>
                <w:b w:val="false"/>
                <w:bCs w:val="false"/>
                <w:sz w:val="19"/>
                <w:szCs w:val="19"/>
              </w:rPr>
              <w:t xml:space="preserve">Third-party CDC product: IBM InfoSphere Data Replication, Qlik Replicate, or Precisely Connect</w:t>
            </w:r>
          </w:p>
        </w:tc>
        <w:tc>
          <w:tcPr>
            <w:tcW w:type="dxa" w:w="1100"/>
            <w:shd w:fill="FFFFFF" w:val="clear"/>
            <w:tcMar>
              <w:top w:type="dxa" w:w="90"/>
              <w:left w:type="dxa" w:w="110"/>
              <w:bottom w:type="dxa" w:w="90"/>
              <w:right w:type="dxa" w:w="110"/>
            </w:tcMar>
          </w:tcPr>
          <w:p>
            <w:pPr>
              <w:spacing w:after="0" w:line="264"/>
            </w:pPr>
            <w:r>
              <w:rPr>
                <w:b w:val="false"/>
                <w:bCs w:val="false"/>
                <w:sz w:val="19"/>
                <w:szCs w:val="19"/>
              </w:rPr>
              <w:t xml:space="preserve">Yes</w:t>
            </w:r>
          </w:p>
        </w:tc>
        <w:tc>
          <w:tcPr>
            <w:tcW w:type="dxa" w:w="1000"/>
            <w:shd w:fill="FFFFFF" w:val="clear"/>
            <w:tcMar>
              <w:top w:type="dxa" w:w="90"/>
              <w:left w:type="dxa" w:w="110"/>
              <w:bottom w:type="dxa" w:w="90"/>
              <w:right w:type="dxa" w:w="110"/>
            </w:tcMar>
          </w:tcPr>
          <w:p>
            <w:pPr>
              <w:spacing w:after="0" w:line="264"/>
            </w:pPr>
            <w:r>
              <w:rPr>
                <w:b w:val="false"/>
                <w:bCs w:val="false"/>
                <w:sz w:val="19"/>
                <w:szCs w:val="19"/>
              </w:rPr>
              <w:t xml:space="preserve">Seconds</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The vendor-standard route for mainframe targets. Licensed product and additional operational surface, but purpose-built and supported.</w:t>
            </w:r>
          </w:p>
        </w:tc>
      </w:tr>
      <w:tr>
        <w:tc>
          <w:tcPr>
            <w:tcW w:type="dxa" w:w="2500"/>
            <w:shd w:fill="F2F5F9" w:val="clear"/>
            <w:tcMar>
              <w:top w:type="dxa" w:w="90"/>
              <w:left w:type="dxa" w:w="110"/>
              <w:bottom w:type="dxa" w:w="90"/>
              <w:right w:type="dxa" w:w="110"/>
            </w:tcMar>
          </w:tcPr>
          <w:p>
            <w:pPr>
              <w:spacing w:after="0" w:line="264"/>
            </w:pPr>
            <w:r>
              <w:rPr>
                <w:b w:val="false"/>
                <w:bCs w:val="false"/>
                <w:sz w:val="19"/>
                <w:szCs w:val="19"/>
              </w:rPr>
              <w:t xml:space="preserve">Firehose to S3, then a scheduled mainframe load job</w:t>
            </w:r>
          </w:p>
        </w:tc>
        <w:tc>
          <w:tcPr>
            <w:tcW w:type="dxa" w:w="1100"/>
            <w:shd w:fill="F2F5F9" w:val="clear"/>
            <w:tcMar>
              <w:top w:type="dxa" w:w="90"/>
              <w:left w:type="dxa" w:w="110"/>
              <w:bottom w:type="dxa" w:w="90"/>
              <w:right w:type="dxa" w:w="110"/>
            </w:tcMar>
          </w:tcPr>
          <w:p>
            <w:pPr>
              <w:spacing w:after="0" w:line="264"/>
            </w:pPr>
            <w:r>
              <w:rPr>
                <w:b w:val="false"/>
                <w:bCs w:val="false"/>
                <w:sz w:val="19"/>
                <w:szCs w:val="19"/>
              </w:rPr>
              <w:t xml:space="preserve">Yes</w:t>
            </w:r>
          </w:p>
        </w:tc>
        <w:tc>
          <w:tcPr>
            <w:tcW w:type="dxa" w:w="1000"/>
            <w:shd w:fill="F2F5F9" w:val="clear"/>
            <w:tcMar>
              <w:top w:type="dxa" w:w="90"/>
              <w:left w:type="dxa" w:w="110"/>
              <w:bottom w:type="dxa" w:w="90"/>
              <w:right w:type="dxa" w:w="110"/>
            </w:tcMar>
          </w:tcPr>
          <w:p>
            <w:pPr>
              <w:spacing w:after="0" w:line="264"/>
            </w:pPr>
            <w:r>
              <w:rPr>
                <w:b w:val="false"/>
                <w:bCs w:val="false"/>
                <w:sz w:val="19"/>
                <w:szCs w:val="19"/>
              </w:rPr>
              <w:t xml:space="preserve">Minutes to hours</w:t>
            </w:r>
          </w:p>
        </w:tc>
        <w:tc>
          <w:tcPr>
            <w:tcW w:type="dxa" w:w="4760"/>
            <w:shd w:fill="F2F5F9" w:val="clear"/>
            <w:tcMar>
              <w:top w:type="dxa" w:w="90"/>
              <w:left w:type="dxa" w:w="110"/>
              <w:bottom w:type="dxa" w:w="90"/>
              <w:right w:type="dxa" w:w="110"/>
            </w:tcMar>
          </w:tcPr>
          <w:p>
            <w:pPr>
              <w:spacing w:after="0" w:line="264"/>
            </w:pPr>
            <w:r>
              <w:rPr>
                <w:b w:val="false"/>
                <w:bCs w:val="false"/>
                <w:sz w:val="19"/>
                <w:szCs w:val="19"/>
              </w:rPr>
              <w:t xml:space="preserve">Simplest to operate and uses Firehose within its supported destinations. Batch freshness only. Acceptable if reporting is daily or hourly rather than near real time.</w:t>
            </w:r>
          </w:p>
        </w:tc>
      </w:tr>
      <w:tr>
        <w:tc>
          <w:tcPr>
            <w:tcW w:type="dxa" w:w="2500"/>
            <w:shd w:fill="FFFFFF" w:val="clear"/>
            <w:tcMar>
              <w:top w:type="dxa" w:w="90"/>
              <w:left w:type="dxa" w:w="110"/>
              <w:bottom w:type="dxa" w:w="90"/>
              <w:right w:type="dxa" w:w="110"/>
            </w:tcMar>
          </w:tcPr>
          <w:p>
            <w:pPr>
              <w:spacing w:after="0" w:line="264"/>
            </w:pPr>
            <w:r>
              <w:rPr>
                <w:b w:val="false"/>
                <w:bCs w:val="false"/>
                <w:sz w:val="19"/>
                <w:szCs w:val="19"/>
              </w:rPr>
              <w:t xml:space="preserve">Message queue bridge into a CICS or batch applier on the mainframe</w:t>
            </w:r>
          </w:p>
        </w:tc>
        <w:tc>
          <w:tcPr>
            <w:tcW w:type="dxa" w:w="1100"/>
            <w:shd w:fill="FFFFFF" w:val="clear"/>
            <w:tcMar>
              <w:top w:type="dxa" w:w="90"/>
              <w:left w:type="dxa" w:w="110"/>
              <w:bottom w:type="dxa" w:w="90"/>
              <w:right w:type="dxa" w:w="110"/>
            </w:tcMar>
          </w:tcPr>
          <w:p>
            <w:pPr>
              <w:spacing w:after="0" w:line="264"/>
            </w:pPr>
            <w:r>
              <w:rPr>
                <w:b w:val="false"/>
                <w:bCs w:val="false"/>
                <w:sz w:val="19"/>
                <w:szCs w:val="19"/>
              </w:rPr>
              <w:t xml:space="preserve">Yes</w:t>
            </w:r>
          </w:p>
        </w:tc>
        <w:tc>
          <w:tcPr>
            <w:tcW w:type="dxa" w:w="1000"/>
            <w:shd w:fill="FFFFFF" w:val="clear"/>
            <w:tcMar>
              <w:top w:type="dxa" w:w="90"/>
              <w:left w:type="dxa" w:w="110"/>
              <w:bottom w:type="dxa" w:w="90"/>
              <w:right w:type="dxa" w:w="110"/>
            </w:tcMar>
          </w:tcPr>
          <w:p>
            <w:pPr>
              <w:spacing w:after="0" w:line="264"/>
            </w:pPr>
            <w:r>
              <w:rPr>
                <w:b w:val="false"/>
                <w:bCs w:val="false"/>
                <w:sz w:val="19"/>
                <w:szCs w:val="19"/>
              </w:rPr>
              <w:t xml:space="preserve">Seconds</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Fits existing mainframe integration patterns where they already exist. Requires mainframe development capacity.</w:t>
            </w:r>
          </w:p>
        </w:tc>
      </w:tr>
      <w:tr>
        <w:tc>
          <w:tcPr>
            <w:tcW w:type="dxa" w:w="2500"/>
            <w:shd w:fill="F2F5F9" w:val="clear"/>
            <w:tcMar>
              <w:top w:type="dxa" w:w="90"/>
              <w:left w:type="dxa" w:w="110"/>
              <w:bottom w:type="dxa" w:w="90"/>
              <w:right w:type="dxa" w:w="110"/>
            </w:tcMar>
          </w:tcPr>
          <w:p>
            <w:pPr>
              <w:spacing w:after="0" w:line="264"/>
            </w:pPr>
            <w:r>
              <w:rPr>
                <w:b w:val="false"/>
                <w:bCs w:val="false"/>
                <w:sz w:val="19"/>
                <w:szCs w:val="19"/>
              </w:rPr>
              <w:t xml:space="preserve">Firehose writing directly to Db2</w:t>
            </w:r>
          </w:p>
        </w:tc>
        <w:tc>
          <w:tcPr>
            <w:tcW w:type="dxa" w:w="1100"/>
            <w:shd w:fill="F2F5F9" w:val="clear"/>
            <w:tcMar>
              <w:top w:type="dxa" w:w="90"/>
              <w:left w:type="dxa" w:w="110"/>
              <w:bottom w:type="dxa" w:w="90"/>
              <w:right w:type="dxa" w:w="110"/>
            </w:tcMar>
          </w:tcPr>
          <w:p>
            <w:pPr>
              <w:spacing w:after="0" w:line="264"/>
            </w:pPr>
            <w:r>
              <w:rPr>
                <w:b w:val="false"/>
                <w:bCs w:val="false"/>
                <w:sz w:val="19"/>
                <w:szCs w:val="19"/>
              </w:rPr>
              <w:t xml:space="preserve">No</w:t>
            </w:r>
          </w:p>
        </w:tc>
        <w:tc>
          <w:tcPr>
            <w:tcW w:type="dxa" w:w="1000"/>
            <w:shd w:fill="F2F5F9" w:val="clear"/>
            <w:tcMar>
              <w:top w:type="dxa" w:w="90"/>
              <w:left w:type="dxa" w:w="110"/>
              <w:bottom w:type="dxa" w:w="90"/>
              <w:right w:type="dxa" w:w="110"/>
            </w:tcMar>
          </w:tcPr>
          <w:p>
            <w:pPr>
              <w:spacing w:after="0" w:line="264"/>
            </w:pPr>
            <w:r>
              <w:rPr>
                <w:b w:val="false"/>
                <w:bCs w:val="false"/>
                <w:sz w:val="19"/>
                <w:szCs w:val="19"/>
              </w:rPr>
              <w:t xml:space="preserve">n/a</w:t>
            </w:r>
          </w:p>
        </w:tc>
        <w:tc>
          <w:tcPr>
            <w:tcW w:type="dxa" w:w="4760"/>
            <w:shd w:fill="F2F5F9" w:val="clear"/>
            <w:tcMar>
              <w:top w:type="dxa" w:w="90"/>
              <w:left w:type="dxa" w:w="110"/>
              <w:bottom w:type="dxa" w:w="90"/>
              <w:right w:type="dxa" w:w="110"/>
            </w:tcMar>
          </w:tcPr>
          <w:p>
            <w:pPr>
              <w:spacing w:after="0" w:line="264"/>
            </w:pPr>
            <w:r>
              <w:rPr>
                <w:b w:val="false"/>
                <w:bCs w:val="false"/>
                <w:sz w:val="19"/>
                <w:szCs w:val="19"/>
              </w:rPr>
              <w:t xml:space="preserve">Not a supported Firehose destination, and Firehose cannot apply updates or deletes.</w:t>
            </w:r>
          </w:p>
        </w:tc>
      </w:tr>
      <w:tr>
        <w:tc>
          <w:tcPr>
            <w:tcW w:type="dxa" w:w="2500"/>
            <w:shd w:fill="FFFFFF" w:val="clear"/>
            <w:tcMar>
              <w:top w:type="dxa" w:w="90"/>
              <w:left w:type="dxa" w:w="110"/>
              <w:bottom w:type="dxa" w:w="90"/>
              <w:right w:type="dxa" w:w="110"/>
            </w:tcMar>
          </w:tcPr>
          <w:p>
            <w:pPr>
              <w:spacing w:after="0" w:line="264"/>
            </w:pPr>
            <w:r>
              <w:rPr>
                <w:b w:val="false"/>
                <w:bCs w:val="false"/>
                <w:sz w:val="19"/>
                <w:szCs w:val="19"/>
              </w:rPr>
              <w:t xml:space="preserve">DMS CDC task with Db2 LUW or RDS for Db2 as target</w:t>
            </w:r>
          </w:p>
        </w:tc>
        <w:tc>
          <w:tcPr>
            <w:tcW w:type="dxa" w:w="1100"/>
            <w:shd w:fill="FFFFFF" w:val="clear"/>
            <w:tcMar>
              <w:top w:type="dxa" w:w="90"/>
              <w:left w:type="dxa" w:w="110"/>
              <w:bottom w:type="dxa" w:w="90"/>
              <w:right w:type="dxa" w:w="110"/>
            </w:tcMar>
          </w:tcPr>
          <w:p>
            <w:pPr>
              <w:spacing w:after="0" w:line="264"/>
            </w:pPr>
            <w:r>
              <w:rPr>
                <w:b w:val="false"/>
                <w:bCs w:val="false"/>
                <w:sz w:val="19"/>
                <w:szCs w:val="19"/>
              </w:rPr>
              <w:t xml:space="preserve">No</w:t>
            </w:r>
          </w:p>
        </w:tc>
        <w:tc>
          <w:tcPr>
            <w:tcW w:type="dxa" w:w="1000"/>
            <w:shd w:fill="FFFFFF" w:val="clear"/>
            <w:tcMar>
              <w:top w:type="dxa" w:w="90"/>
              <w:left w:type="dxa" w:w="110"/>
              <w:bottom w:type="dxa" w:w="90"/>
              <w:right w:type="dxa" w:w="110"/>
            </w:tcMar>
          </w:tcPr>
          <w:p>
            <w:pPr>
              <w:spacing w:after="0" w:line="264"/>
            </w:pPr>
            <w:r>
              <w:rPr>
                <w:b w:val="false"/>
                <w:bCs w:val="false"/>
                <w:sz w:val="19"/>
                <w:szCs w:val="19"/>
              </w:rPr>
              <w:t xml:space="preserve">n/a</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DMS supports a Db2 target only when the source is Db2 LUW or Db2 for z/OS.</w:t>
            </w:r>
          </w:p>
        </w:tc>
      </w:tr>
    </w:tbl>
    <w:p>
      <w:pPr>
        <w:spacing w:after="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1F6EC" w:val="clear"/>
            <w:tcMar>
              <w:top w:type="dxa" w:w="120"/>
              <w:left w:type="dxa" w:w="160"/>
              <w:bottom w:type="dxa" w:w="120"/>
              <w:right w:type="dxa" w:w="160"/>
            </w:tcMar>
          </w:tcPr>
          <w:p>
            <w:pPr>
              <w:spacing w:after="60"/>
            </w:pPr>
            <w:r>
              <w:rPr>
                <w:b/>
                <w:bCs/>
                <w:color w:val="8B1A1A"/>
                <w:sz w:val="20"/>
                <w:szCs w:val="20"/>
              </w:rPr>
              <w:t xml:space="preserve">Recommendation</w:t>
            </w:r>
          </w:p>
          <w:p>
            <w:pPr>
              <w:spacing w:after="0" w:line="276"/>
            </w:pPr>
            <w:r>
              <w:rPr>
                <w:sz w:val="21"/>
                <w:szCs w:val="21"/>
              </w:rPr>
              <w:t xml:space="preserve">Establish first whether the mainframe is genuinely the required ODS, or whether it is the ODS because existing mainframe programs consume the data. If the latter, the mainframe is a consumer and belongs on the event path with its own queue and applier, not as a replication target. This distinction removes most of the complexity in the current design.</w:t>
            </w:r>
          </w:p>
        </w:tc>
      </w:tr>
    </w:tbl>
    <w:p>
      <w:r>
        <w:br w:type="page"/>
      </w:r>
    </w:p>
    <w:p>
      <w:pPr>
        <w:pStyle w:val="Heading1"/>
        <w:spacing w:after="160" w:before="360"/>
      </w:pPr>
      <w:r>
        <w:rPr>
          <w:b/>
          <w:bCs/>
          <w:color w:val="1F3864"/>
          <w:sz w:val="30"/>
          <w:szCs w:val="30"/>
        </w:rPr>
        <w:t xml:space="preserve">6. Component-level recommendations</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3050"/>
        <w:gridCol w:w="2860"/>
      </w:tblGrid>
      <w:tr>
        <w:trPr>
          <w:tblHeader/>
        </w:trPr>
        <w:tc>
          <w:tcPr>
            <w:tcW w:type="dxa" w:w="1350"/>
            <w:shd w:fill="1F3864" w:val="clear"/>
            <w:tcMar>
              <w:top w:type="dxa" w:w="90"/>
              <w:left w:type="dxa" w:w="110"/>
              <w:bottom w:type="dxa" w:w="90"/>
              <w:right w:type="dxa" w:w="110"/>
            </w:tcMar>
          </w:tcPr>
          <w:p>
            <w:r>
              <w:rPr>
                <w:b/>
                <w:bCs/>
                <w:color w:val="FFFFFF"/>
                <w:sz w:val="19"/>
                <w:szCs w:val="19"/>
              </w:rPr>
              <w:t xml:space="preserve">Component</w:t>
            </w:r>
          </w:p>
        </w:tc>
        <w:tc>
          <w:tcPr>
            <w:tcW w:type="dxa" w:w="2100"/>
            <w:shd w:fill="1F3864" w:val="clear"/>
            <w:tcMar>
              <w:top w:type="dxa" w:w="90"/>
              <w:left w:type="dxa" w:w="110"/>
              <w:bottom w:type="dxa" w:w="90"/>
              <w:right w:type="dxa" w:w="110"/>
            </w:tcMar>
          </w:tcPr>
          <w:p>
            <w:r>
              <w:rPr>
                <w:b/>
                <w:bCs/>
                <w:color w:val="FFFFFF"/>
                <w:sz w:val="19"/>
                <w:szCs w:val="19"/>
              </w:rPr>
              <w:t xml:space="preserve">As designed (v1.0)</w:t>
            </w:r>
          </w:p>
        </w:tc>
        <w:tc>
          <w:tcPr>
            <w:tcW w:type="dxa" w:w="3050"/>
            <w:shd w:fill="1F3864" w:val="clear"/>
            <w:tcMar>
              <w:top w:type="dxa" w:w="90"/>
              <w:left w:type="dxa" w:w="110"/>
              <w:bottom w:type="dxa" w:w="90"/>
              <w:right w:type="dxa" w:w="110"/>
            </w:tcMar>
          </w:tcPr>
          <w:p>
            <w:r>
              <w:rPr>
                <w:b/>
                <w:bCs/>
                <w:color w:val="FFFFFF"/>
                <w:sz w:val="19"/>
                <w:szCs w:val="19"/>
              </w:rPr>
              <w:t xml:space="preserve">Recommended</w:t>
            </w:r>
          </w:p>
        </w:tc>
        <w:tc>
          <w:tcPr>
            <w:tcW w:type="dxa" w:w="2860"/>
            <w:shd w:fill="1F3864" w:val="clear"/>
            <w:tcMar>
              <w:top w:type="dxa" w:w="90"/>
              <w:left w:type="dxa" w:w="110"/>
              <w:bottom w:type="dxa" w:w="90"/>
              <w:right w:type="dxa" w:w="110"/>
            </w:tcMar>
          </w:tcPr>
          <w:p>
            <w:r>
              <w:rPr>
                <w:b/>
                <w:bCs/>
                <w:color w:val="FFFFFF"/>
                <w:sz w:val="19"/>
                <w:szCs w:val="19"/>
              </w:rPr>
              <w:t xml:space="preserve">Rationale</w:t>
            </w:r>
          </w:p>
        </w:tc>
      </w:tr>
      <w:tr>
        <w:tc>
          <w:tcPr>
            <w:tcW w:type="dxa" w:w="1350"/>
            <w:shd w:fill="FFFFFF" w:val="clear"/>
            <w:tcMar>
              <w:top w:type="dxa" w:w="90"/>
              <w:left w:type="dxa" w:w="110"/>
              <w:bottom w:type="dxa" w:w="90"/>
              <w:right w:type="dxa" w:w="110"/>
            </w:tcMar>
          </w:tcPr>
          <w:p>
            <w:pPr>
              <w:spacing w:after="0" w:line="264"/>
            </w:pPr>
            <w:r>
              <w:rPr>
                <w:b/>
                <w:bCs/>
                <w:sz w:val="19"/>
                <w:szCs w:val="19"/>
              </w:rPr>
              <w:t xml:space="preserve">CDC capture</w:t>
            </w:r>
          </w:p>
        </w:tc>
        <w:tc>
          <w:tcPr>
            <w:tcW w:type="dxa" w:w="2100"/>
            <w:shd w:fill="FFFFFF" w:val="clear"/>
            <w:tcMar>
              <w:top w:type="dxa" w:w="90"/>
              <w:left w:type="dxa" w:w="110"/>
              <w:bottom w:type="dxa" w:w="90"/>
              <w:right w:type="dxa" w:w="110"/>
            </w:tcMar>
          </w:tcPr>
          <w:p>
            <w:pPr>
              <w:spacing w:after="0" w:line="264"/>
            </w:pPr>
            <w:r>
              <w:rPr>
                <w:b w:val="false"/>
                <w:bCs w:val="false"/>
                <w:sz w:val="19"/>
                <w:szCs w:val="19"/>
              </w:rPr>
              <w:t xml:space="preserve">Single AWS DMS task on a provisioned replication instance</w:t>
            </w:r>
          </w:p>
        </w:tc>
        <w:tc>
          <w:tcPr>
            <w:tcW w:type="dxa" w:w="3050"/>
            <w:shd w:fill="FFFFFF" w:val="clear"/>
            <w:tcMar>
              <w:top w:type="dxa" w:w="90"/>
              <w:left w:type="dxa" w:w="110"/>
              <w:bottom w:type="dxa" w:w="90"/>
              <w:right w:type="dxa" w:w="110"/>
            </w:tcMar>
          </w:tcPr>
          <w:p>
            <w:pPr>
              <w:spacing w:after="0" w:line="264"/>
            </w:pPr>
            <w:r>
              <w:rPr>
                <w:b w:val="false"/>
                <w:bCs w:val="false"/>
                <w:sz w:val="19"/>
                <w:szCs w:val="19"/>
              </w:rPr>
              <w:t xml:space="preserve">Two separate DMS Serverless tasks, one on the outbox and one on base tables. Debezium on MSK Connect if the platform moves to Kafka.</w:t>
            </w:r>
          </w:p>
        </w:tc>
        <w:tc>
          <w:tcPr>
            <w:tcW w:type="dxa" w:w="2860"/>
            <w:shd w:fill="FFFFFF" w:val="clear"/>
            <w:tcMar>
              <w:top w:type="dxa" w:w="90"/>
              <w:left w:type="dxa" w:w="110"/>
              <w:bottom w:type="dxa" w:w="90"/>
              <w:right w:type="dxa" w:w="110"/>
            </w:tcMar>
          </w:tcPr>
          <w:p>
            <w:pPr>
              <w:spacing w:after="0" w:line="264"/>
            </w:pPr>
            <w:r>
              <w:rPr>
                <w:b w:val="false"/>
                <w:bCs w:val="false"/>
                <w:sz w:val="19"/>
                <w:szCs w:val="19"/>
              </w:rPr>
              <w:t xml:space="preserve">Removes instance sizing and patching. Separating tasks isolates the fragile ODS leg from event delivery.</w:t>
            </w:r>
          </w:p>
        </w:tc>
      </w:tr>
      <w:tr>
        <w:tc>
          <w:tcPr>
            <w:tcW w:type="dxa" w:w="1350"/>
            <w:shd w:fill="F2F5F9" w:val="clear"/>
            <w:tcMar>
              <w:top w:type="dxa" w:w="90"/>
              <w:left w:type="dxa" w:w="110"/>
              <w:bottom w:type="dxa" w:w="90"/>
              <w:right w:type="dxa" w:w="110"/>
            </w:tcMar>
          </w:tcPr>
          <w:p>
            <w:pPr>
              <w:spacing w:after="0" w:line="264"/>
            </w:pPr>
            <w:r>
              <w:rPr>
                <w:b/>
                <w:bCs/>
                <w:sz w:val="19"/>
                <w:szCs w:val="19"/>
              </w:rPr>
              <w:t xml:space="preserve">Stream</w:t>
            </w:r>
          </w:p>
        </w:tc>
        <w:tc>
          <w:tcPr>
            <w:tcW w:type="dxa" w:w="2100"/>
            <w:shd w:fill="F2F5F9" w:val="clear"/>
            <w:tcMar>
              <w:top w:type="dxa" w:w="90"/>
              <w:left w:type="dxa" w:w="110"/>
              <w:bottom w:type="dxa" w:w="90"/>
              <w:right w:type="dxa" w:w="110"/>
            </w:tcMar>
          </w:tcPr>
          <w:p>
            <w:pPr>
              <w:spacing w:after="0" w:line="264"/>
            </w:pPr>
            <w:r>
              <w:rPr>
                <w:b w:val="false"/>
                <w:bCs w:val="false"/>
                <w:sz w:val="19"/>
                <w:szCs w:val="19"/>
              </w:rPr>
              <w:t xml:space="preserve">Kinesis Data Streams</w:t>
            </w:r>
          </w:p>
        </w:tc>
        <w:tc>
          <w:tcPr>
            <w:tcW w:type="dxa" w:w="3050"/>
            <w:shd w:fill="F2F5F9" w:val="clear"/>
            <w:tcMar>
              <w:top w:type="dxa" w:w="90"/>
              <w:left w:type="dxa" w:w="110"/>
              <w:bottom w:type="dxa" w:w="90"/>
              <w:right w:type="dxa" w:w="110"/>
            </w:tcMar>
          </w:tcPr>
          <w:p>
            <w:pPr>
              <w:spacing w:after="0" w:line="264"/>
            </w:pPr>
            <w:r>
              <w:rPr>
                <w:b w:val="false"/>
                <w:bCs w:val="false"/>
                <w:sz w:val="19"/>
                <w:szCs w:val="19"/>
              </w:rPr>
              <w:t xml:space="preserve">Keep. Start in on-demand capacity mode. Set partition key to the aggregate identifier and enable PartitionIncludeSchemaTable to avoid primary-key collisions across tables.</w:t>
            </w:r>
          </w:p>
        </w:tc>
        <w:tc>
          <w:tcPr>
            <w:tcW w:type="dxa" w:w="2860"/>
            <w:shd w:fill="F2F5F9" w:val="clear"/>
            <w:tcMar>
              <w:top w:type="dxa" w:w="90"/>
              <w:left w:type="dxa" w:w="110"/>
              <w:bottom w:type="dxa" w:w="90"/>
              <w:right w:type="dxa" w:w="110"/>
            </w:tcMar>
          </w:tcPr>
          <w:p>
            <w:pPr>
              <w:spacing w:after="0" w:line="264"/>
            </w:pPr>
            <w:r>
              <w:rPr>
                <w:b w:val="false"/>
                <w:bCs w:val="false"/>
                <w:sz w:val="19"/>
                <w:szCs w:val="19"/>
              </w:rPr>
              <w:t xml:space="preserve">Kinesis is the right choice at this scale. On-demand removes shard maintenance until throughput is understood.</w:t>
            </w:r>
          </w:p>
        </w:tc>
      </w:tr>
      <w:tr>
        <w:tc>
          <w:tcPr>
            <w:tcW w:type="dxa" w:w="1350"/>
            <w:shd w:fill="FFFFFF" w:val="clear"/>
            <w:tcMar>
              <w:top w:type="dxa" w:w="90"/>
              <w:left w:type="dxa" w:w="110"/>
              <w:bottom w:type="dxa" w:w="90"/>
              <w:right w:type="dxa" w:w="110"/>
            </w:tcMar>
          </w:tcPr>
          <w:p>
            <w:pPr>
              <w:spacing w:after="0" w:line="264"/>
            </w:pPr>
            <w:r>
              <w:rPr>
                <w:b/>
                <w:bCs/>
                <w:sz w:val="19"/>
                <w:szCs w:val="19"/>
              </w:rPr>
              <w:t xml:space="preserve">Processing</w:t>
            </w:r>
          </w:p>
        </w:tc>
        <w:tc>
          <w:tcPr>
            <w:tcW w:type="dxa" w:w="2100"/>
            <w:shd w:fill="FFFFFF" w:val="clear"/>
            <w:tcMar>
              <w:top w:type="dxa" w:w="90"/>
              <w:left w:type="dxa" w:w="110"/>
              <w:bottom w:type="dxa" w:w="90"/>
              <w:right w:type="dxa" w:w="110"/>
            </w:tcMar>
          </w:tcPr>
          <w:p>
            <w:pPr>
              <w:spacing w:after="0" w:line="264"/>
            </w:pPr>
            <w:r>
              <w:rPr>
                <w:b w:val="false"/>
                <w:bCs w:val="false"/>
                <w:sz w:val="19"/>
                <w:szCs w:val="19"/>
              </w:rPr>
              <w:t xml:space="preserve">AWS Lambda</w:t>
            </w:r>
          </w:p>
        </w:tc>
        <w:tc>
          <w:tcPr>
            <w:tcW w:type="dxa" w:w="3050"/>
            <w:shd w:fill="FFFFFF" w:val="clear"/>
            <w:tcMar>
              <w:top w:type="dxa" w:w="90"/>
              <w:left w:type="dxa" w:w="110"/>
              <w:bottom w:type="dxa" w:w="90"/>
              <w:right w:type="dxa" w:w="110"/>
            </w:tcMar>
          </w:tcPr>
          <w:p>
            <w:pPr>
              <w:spacing w:after="0" w:line="264"/>
            </w:pPr>
            <w:r>
              <w:rPr>
                <w:b w:val="false"/>
                <w:bCs w:val="false"/>
                <w:sz w:val="19"/>
                <w:szCs w:val="19"/>
              </w:rPr>
              <w:t xml:space="preserve">EventBridge Pipes if the work is filter and transform only. Retain Lambda where enrichment or lookup is required.</w:t>
            </w:r>
          </w:p>
        </w:tc>
        <w:tc>
          <w:tcPr>
            <w:tcW w:type="dxa" w:w="2860"/>
            <w:shd w:fill="FFFFFF" w:val="clear"/>
            <w:tcMar>
              <w:top w:type="dxa" w:w="90"/>
              <w:left w:type="dxa" w:w="110"/>
              <w:bottom w:type="dxa" w:w="90"/>
              <w:right w:type="dxa" w:w="110"/>
            </w:tcMar>
          </w:tcPr>
          <w:p>
            <w:pPr>
              <w:spacing w:after="0" w:line="264"/>
            </w:pPr>
            <w:r>
              <w:rPr>
                <w:b w:val="false"/>
                <w:bCs w:val="false"/>
                <w:sz w:val="19"/>
                <w:szCs w:val="19"/>
              </w:rPr>
              <w:t xml:space="preserve">Pipes removes code the team would otherwise own for a routine transformation.</w:t>
            </w:r>
          </w:p>
        </w:tc>
      </w:tr>
      <w:tr>
        <w:tc>
          <w:tcPr>
            <w:tcW w:type="dxa" w:w="1350"/>
            <w:shd w:fill="F2F5F9" w:val="clear"/>
            <w:tcMar>
              <w:top w:type="dxa" w:w="90"/>
              <w:left w:type="dxa" w:w="110"/>
              <w:bottom w:type="dxa" w:w="90"/>
              <w:right w:type="dxa" w:w="110"/>
            </w:tcMar>
          </w:tcPr>
          <w:p>
            <w:pPr>
              <w:spacing w:after="0" w:line="264"/>
            </w:pPr>
            <w:r>
              <w:rPr>
                <w:b/>
                <w:bCs/>
                <w:sz w:val="19"/>
                <w:szCs w:val="19"/>
              </w:rPr>
              <w:t xml:space="preserve">Fan-out</w:t>
            </w:r>
          </w:p>
        </w:tc>
        <w:tc>
          <w:tcPr>
            <w:tcW w:type="dxa" w:w="2100"/>
            <w:shd w:fill="F2F5F9" w:val="clear"/>
            <w:tcMar>
              <w:top w:type="dxa" w:w="90"/>
              <w:left w:type="dxa" w:w="110"/>
              <w:bottom w:type="dxa" w:w="90"/>
              <w:right w:type="dxa" w:w="110"/>
            </w:tcMar>
          </w:tcPr>
          <w:p>
            <w:pPr>
              <w:spacing w:after="0" w:line="264"/>
            </w:pPr>
            <w:r>
              <w:rPr>
                <w:b w:val="false"/>
                <w:bCs w:val="false"/>
                <w:sz w:val="19"/>
                <w:szCs w:val="19"/>
              </w:rPr>
              <w:t xml:space="preserve">Amazon SNS standard topic</w:t>
            </w:r>
          </w:p>
        </w:tc>
        <w:tc>
          <w:tcPr>
            <w:tcW w:type="dxa" w:w="3050"/>
            <w:shd w:fill="F2F5F9" w:val="clear"/>
            <w:tcMar>
              <w:top w:type="dxa" w:w="90"/>
              <w:left w:type="dxa" w:w="110"/>
              <w:bottom w:type="dxa" w:w="90"/>
              <w:right w:type="dxa" w:w="110"/>
            </w:tcMar>
          </w:tcPr>
          <w:p>
            <w:pPr>
              <w:spacing w:after="0" w:line="264"/>
            </w:pPr>
            <w:r>
              <w:rPr>
                <w:b w:val="false"/>
                <w:bCs w:val="false"/>
                <w:sz w:val="19"/>
                <w:szCs w:val="19"/>
              </w:rPr>
              <w:t xml:space="preserve">Keep SNS with filter policies and raw message delivery. Move to SNS FIFO only if strict ordering is required. Evaluate an EventBridge bus if archive and replay matter.</w:t>
            </w:r>
          </w:p>
        </w:tc>
        <w:tc>
          <w:tcPr>
            <w:tcW w:type="dxa" w:w="2860"/>
            <w:shd w:fill="F2F5F9" w:val="clear"/>
            <w:tcMar>
              <w:top w:type="dxa" w:w="90"/>
              <w:left w:type="dxa" w:w="110"/>
              <w:bottom w:type="dxa" w:w="90"/>
              <w:right w:type="dxa" w:w="110"/>
            </w:tcMar>
          </w:tcPr>
          <w:p>
            <w:pPr>
              <w:spacing w:after="0" w:line="264"/>
            </w:pPr>
            <w:r>
              <w:rPr>
                <w:b w:val="false"/>
                <w:bCs w:val="false"/>
                <w:sz w:val="19"/>
                <w:szCs w:val="19"/>
              </w:rPr>
              <w:t xml:space="preserve">Filter policies stop consumers receiving events they must discard. EventBridge adds built-in archive, replay, and a schema registry at higher per-event cost.</w:t>
            </w:r>
          </w:p>
        </w:tc>
      </w:tr>
      <w:tr>
        <w:tc>
          <w:tcPr>
            <w:tcW w:type="dxa" w:w="1350"/>
            <w:shd w:fill="FFFFFF" w:val="clear"/>
            <w:tcMar>
              <w:top w:type="dxa" w:w="90"/>
              <w:left w:type="dxa" w:w="110"/>
              <w:bottom w:type="dxa" w:w="90"/>
              <w:right w:type="dxa" w:w="110"/>
            </w:tcMar>
          </w:tcPr>
          <w:p>
            <w:pPr>
              <w:spacing w:after="0" w:line="264"/>
            </w:pPr>
            <w:r>
              <w:rPr>
                <w:b/>
                <w:bCs/>
                <w:sz w:val="19"/>
                <w:szCs w:val="19"/>
              </w:rPr>
              <w:t xml:space="preserve">Delivery</w:t>
            </w:r>
          </w:p>
        </w:tc>
        <w:tc>
          <w:tcPr>
            <w:tcW w:type="dxa" w:w="2100"/>
            <w:shd w:fill="FFFFFF" w:val="clear"/>
            <w:tcMar>
              <w:top w:type="dxa" w:w="90"/>
              <w:left w:type="dxa" w:w="110"/>
              <w:bottom w:type="dxa" w:w="90"/>
              <w:right w:type="dxa" w:w="110"/>
            </w:tcMar>
          </w:tcPr>
          <w:p>
            <w:pPr>
              <w:spacing w:after="0" w:line="264"/>
            </w:pPr>
            <w:r>
              <w:rPr>
                <w:b w:val="false"/>
                <w:bCs w:val="false"/>
                <w:sz w:val="19"/>
                <w:szCs w:val="19"/>
              </w:rPr>
              <w:t xml:space="preserve">One SQS queue per consumer</w:t>
            </w:r>
          </w:p>
        </w:tc>
        <w:tc>
          <w:tcPr>
            <w:tcW w:type="dxa" w:w="3050"/>
            <w:shd w:fill="FFFFFF" w:val="clear"/>
            <w:tcMar>
              <w:top w:type="dxa" w:w="90"/>
              <w:left w:type="dxa" w:w="110"/>
              <w:bottom w:type="dxa" w:w="90"/>
              <w:right w:type="dxa" w:w="110"/>
            </w:tcMar>
          </w:tcPr>
          <w:p>
            <w:pPr>
              <w:spacing w:after="0" w:line="264"/>
            </w:pPr>
            <w:r>
              <w:rPr>
                <w:b w:val="false"/>
                <w:bCs w:val="false"/>
                <w:sz w:val="19"/>
                <w:szCs w:val="19"/>
              </w:rPr>
              <w:t xml:space="preserve">Keep. Add a dead-letter queue and redrive policy to every queue, and a queue access policy scoped to the topic.</w:t>
            </w:r>
          </w:p>
        </w:tc>
        <w:tc>
          <w:tcPr>
            <w:tcW w:type="dxa" w:w="2860"/>
            <w:shd w:fill="FFFFFF" w:val="clear"/>
            <w:tcMar>
              <w:top w:type="dxa" w:w="90"/>
              <w:left w:type="dxa" w:w="110"/>
              <w:bottom w:type="dxa" w:w="90"/>
              <w:right w:type="dxa" w:w="110"/>
            </w:tcMar>
          </w:tcPr>
          <w:p>
            <w:pPr>
              <w:spacing w:after="0" w:line="264"/>
            </w:pPr>
            <w:r>
              <w:rPr>
                <w:b w:val="false"/>
                <w:bCs w:val="false"/>
                <w:sz w:val="19"/>
                <w:szCs w:val="19"/>
              </w:rPr>
              <w:t xml:space="preserve">Already the right pattern. Only the failure path is missing.</w:t>
            </w:r>
          </w:p>
        </w:tc>
      </w:tr>
      <w:tr>
        <w:tc>
          <w:tcPr>
            <w:tcW w:type="dxa" w:w="1350"/>
            <w:shd w:fill="F2F5F9" w:val="clear"/>
            <w:tcMar>
              <w:top w:type="dxa" w:w="90"/>
              <w:left w:type="dxa" w:w="110"/>
              <w:bottom w:type="dxa" w:w="90"/>
              <w:right w:type="dxa" w:w="110"/>
            </w:tcMar>
          </w:tcPr>
          <w:p>
            <w:pPr>
              <w:spacing w:after="0" w:line="264"/>
            </w:pPr>
            <w:r>
              <w:rPr>
                <w:b/>
                <w:bCs/>
                <w:sz w:val="19"/>
                <w:szCs w:val="19"/>
              </w:rPr>
              <w:t xml:space="preserve">ODS delivery</w:t>
            </w:r>
          </w:p>
        </w:tc>
        <w:tc>
          <w:tcPr>
            <w:tcW w:type="dxa" w:w="2100"/>
            <w:shd w:fill="F2F5F9" w:val="clear"/>
            <w:tcMar>
              <w:top w:type="dxa" w:w="90"/>
              <w:left w:type="dxa" w:w="110"/>
              <w:bottom w:type="dxa" w:w="90"/>
              <w:right w:type="dxa" w:w="110"/>
            </w:tcMar>
          </w:tcPr>
          <w:p>
            <w:pPr>
              <w:spacing w:after="0" w:line="264"/>
            </w:pPr>
            <w:r>
              <w:rPr>
                <w:b w:val="false"/>
                <w:bCs w:val="false"/>
                <w:sz w:val="19"/>
                <w:szCs w:val="19"/>
              </w:rPr>
              <w:t xml:space="preserve">Amazon Data Firehose to mainframe Db2</w:t>
            </w:r>
          </w:p>
        </w:tc>
        <w:tc>
          <w:tcPr>
            <w:tcW w:type="dxa" w:w="3050"/>
            <w:shd w:fill="F2F5F9" w:val="clear"/>
            <w:tcMar>
              <w:top w:type="dxa" w:w="90"/>
              <w:left w:type="dxa" w:w="110"/>
              <w:bottom w:type="dxa" w:w="90"/>
              <w:right w:type="dxa" w:w="110"/>
            </w:tcMar>
          </w:tcPr>
          <w:p>
            <w:pPr>
              <w:spacing w:after="0" w:line="264"/>
            </w:pPr>
            <w:r>
              <w:rPr>
                <w:b w:val="false"/>
                <w:bCs w:val="false"/>
                <w:sz w:val="19"/>
                <w:szCs w:val="19"/>
              </w:rPr>
              <w:t xml:space="preserve">Not implementable. Select from the options in section 5.</w:t>
            </w:r>
          </w:p>
        </w:tc>
        <w:tc>
          <w:tcPr>
            <w:tcW w:type="dxa" w:w="2860"/>
            <w:shd w:fill="F2F5F9" w:val="clear"/>
            <w:tcMar>
              <w:top w:type="dxa" w:w="90"/>
              <w:left w:type="dxa" w:w="110"/>
              <w:bottom w:type="dxa" w:w="90"/>
              <w:right w:type="dxa" w:w="110"/>
            </w:tcMar>
          </w:tcPr>
          <w:p>
            <w:pPr>
              <w:spacing w:after="0" w:line="264"/>
            </w:pPr>
            <w:r>
              <w:rPr>
                <w:b w:val="false"/>
                <w:bCs w:val="false"/>
                <w:sz w:val="19"/>
                <w:szCs w:val="19"/>
              </w:rPr>
              <w:t xml:space="preserve">Db2 is not a Firehose destination, and Firehose cannot apply updates or deletes.</w:t>
            </w:r>
          </w:p>
        </w:tc>
      </w:tr>
      <w:tr>
        <w:tc>
          <w:tcPr>
            <w:tcW w:type="dxa" w:w="1350"/>
            <w:shd w:fill="FFFFFF" w:val="clear"/>
            <w:tcMar>
              <w:top w:type="dxa" w:w="90"/>
              <w:left w:type="dxa" w:w="110"/>
              <w:bottom w:type="dxa" w:w="90"/>
              <w:right w:type="dxa" w:w="110"/>
            </w:tcMar>
          </w:tcPr>
          <w:p>
            <w:pPr>
              <w:spacing w:after="0" w:line="264"/>
            </w:pPr>
            <w:r>
              <w:rPr>
                <w:b/>
                <w:bCs/>
                <w:sz w:val="19"/>
                <w:szCs w:val="19"/>
              </w:rPr>
              <w:t xml:space="preserve">Event archive</w:t>
            </w:r>
          </w:p>
        </w:tc>
        <w:tc>
          <w:tcPr>
            <w:tcW w:type="dxa" w:w="2100"/>
            <w:shd w:fill="FFFFFF" w:val="clear"/>
            <w:tcMar>
              <w:top w:type="dxa" w:w="90"/>
              <w:left w:type="dxa" w:w="110"/>
              <w:bottom w:type="dxa" w:w="90"/>
              <w:right w:type="dxa" w:w="110"/>
            </w:tcMar>
          </w:tcPr>
          <w:p>
            <w:pPr>
              <w:spacing w:after="0" w:line="264"/>
            </w:pPr>
            <w:r>
              <w:rPr>
                <w:b w:val="false"/>
                <w:bCs w:val="false"/>
                <w:sz w:val="19"/>
                <w:szCs w:val="19"/>
              </w:rPr>
              <w:t xml:space="preserve">Not addressed</w:t>
            </w:r>
          </w:p>
        </w:tc>
        <w:tc>
          <w:tcPr>
            <w:tcW w:type="dxa" w:w="3050"/>
            <w:shd w:fill="FFFFFF" w:val="clear"/>
            <w:tcMar>
              <w:top w:type="dxa" w:w="90"/>
              <w:left w:type="dxa" w:w="110"/>
              <w:bottom w:type="dxa" w:w="90"/>
              <w:right w:type="dxa" w:w="110"/>
            </w:tcMar>
          </w:tcPr>
          <w:p>
            <w:pPr>
              <w:spacing w:after="0" w:line="264"/>
            </w:pPr>
            <w:r>
              <w:rPr>
                <w:b w:val="false"/>
                <w:bCs w:val="false"/>
                <w:sz w:val="19"/>
                <w:szCs w:val="19"/>
              </w:rPr>
              <w:t xml:space="preserve">Firehose to S3 as a permanent event log, in Parquet.</w:t>
            </w:r>
          </w:p>
        </w:tc>
        <w:tc>
          <w:tcPr>
            <w:tcW w:type="dxa" w:w="2860"/>
            <w:shd w:fill="FFFFFF" w:val="clear"/>
            <w:tcMar>
              <w:top w:type="dxa" w:w="90"/>
              <w:left w:type="dxa" w:w="110"/>
              <w:bottom w:type="dxa" w:w="90"/>
              <w:right w:type="dxa" w:w="110"/>
            </w:tcMar>
          </w:tcPr>
          <w:p>
            <w:pPr>
              <w:spacing w:after="0" w:line="264"/>
            </w:pPr>
            <w:r>
              <w:rPr>
                <w:b w:val="false"/>
                <w:bCs w:val="false"/>
                <w:sz w:val="19"/>
                <w:szCs w:val="19"/>
              </w:rPr>
              <w:t xml:space="preserve">Provides replay beyond stream retention, an audit trail, and a reprocessing source for new consumers joining later.</w:t>
            </w:r>
          </w:p>
        </w:tc>
      </w:tr>
      <w:tr>
        <w:tc>
          <w:tcPr>
            <w:tcW w:type="dxa" w:w="1350"/>
            <w:shd w:fill="F2F5F9" w:val="clear"/>
            <w:tcMar>
              <w:top w:type="dxa" w:w="90"/>
              <w:left w:type="dxa" w:w="110"/>
              <w:bottom w:type="dxa" w:w="90"/>
              <w:right w:type="dxa" w:w="110"/>
            </w:tcMar>
          </w:tcPr>
          <w:p>
            <w:pPr>
              <w:spacing w:after="0" w:line="264"/>
            </w:pPr>
            <w:r>
              <w:rPr>
                <w:b/>
                <w:bCs/>
                <w:sz w:val="19"/>
                <w:szCs w:val="19"/>
              </w:rPr>
              <w:t xml:space="preserve">Amazon RDS Proxy</w:t>
            </w:r>
          </w:p>
        </w:tc>
        <w:tc>
          <w:tcPr>
            <w:tcW w:type="dxa" w:w="2100"/>
            <w:shd w:fill="F2F5F9" w:val="clear"/>
            <w:tcMar>
              <w:top w:type="dxa" w:w="90"/>
              <w:left w:type="dxa" w:w="110"/>
              <w:bottom w:type="dxa" w:w="90"/>
              <w:right w:type="dxa" w:w="110"/>
            </w:tcMar>
          </w:tcPr>
          <w:p>
            <w:pPr>
              <w:spacing w:after="0" w:line="264"/>
            </w:pPr>
            <w:r>
              <w:rPr>
                <w:b w:val="false"/>
                <w:bCs w:val="false"/>
                <w:sz w:val="19"/>
                <w:szCs w:val="19"/>
              </w:rPr>
              <w:t xml:space="preserve">Between application and Aurora</w:t>
            </w:r>
          </w:p>
        </w:tc>
        <w:tc>
          <w:tcPr>
            <w:tcW w:type="dxa" w:w="3050"/>
            <w:shd w:fill="F2F5F9" w:val="clear"/>
            <w:tcMar>
              <w:top w:type="dxa" w:w="90"/>
              <w:left w:type="dxa" w:w="110"/>
              <w:bottom w:type="dxa" w:w="90"/>
              <w:right w:type="dxa" w:w="110"/>
            </w:tcMar>
          </w:tcPr>
          <w:p>
            <w:pPr>
              <w:spacing w:after="0" w:line="264"/>
            </w:pPr>
            <w:r>
              <w:rPr>
                <w:b w:val="false"/>
                <w:bCs w:val="false"/>
                <w:sz w:val="19"/>
                <w:szCs w:val="19"/>
              </w:rPr>
              <w:t xml:space="preserve">Keep, but document as outside the synchronisation path. DMS connects to Aurora directly, not through the proxy.</w:t>
            </w:r>
          </w:p>
        </w:tc>
        <w:tc>
          <w:tcPr>
            <w:tcW w:type="dxa" w:w="2860"/>
            <w:shd w:fill="F2F5F9" w:val="clear"/>
            <w:tcMar>
              <w:top w:type="dxa" w:w="90"/>
              <w:left w:type="dxa" w:w="110"/>
              <w:bottom w:type="dxa" w:w="90"/>
              <w:right w:type="dxa" w:w="110"/>
            </w:tcMar>
          </w:tcPr>
          <w:p>
            <w:pPr>
              <w:spacing w:after="0" w:line="264"/>
            </w:pPr>
            <w:r>
              <w:rPr>
                <w:b w:val="false"/>
                <w:bCs w:val="false"/>
                <w:sz w:val="19"/>
                <w:szCs w:val="19"/>
              </w:rPr>
              <w:t xml:space="preserve">Connection pooling is a valid application concern but plays no role in change capture.</w:t>
            </w:r>
          </w:p>
        </w:tc>
      </w:tr>
    </w:tbl>
    <w:p>
      <w:pPr>
        <w:spacing w:after="200"/>
      </w:pPr>
      <w:r>
        <w:rPr>
          <w:sz w:val="2"/>
          <w:szCs w:val="2"/>
        </w:rPr>
        <w:t xml:space="preserve"/>
      </w:r>
    </w:p>
    <w:p>
      <w:pPr>
        <w:pStyle w:val="Heading2"/>
        <w:spacing w:after="120" w:before="260"/>
      </w:pPr>
      <w:r>
        <w:rPr>
          <w:b/>
          <w:bCs/>
          <w:color w:val="1F3864"/>
          <w:sz w:val="25"/>
          <w:szCs w:val="25"/>
        </w:rPr>
        <w:t xml:space="preserve">6.1 On Kafka</w:t>
      </w:r>
    </w:p>
    <w:p>
      <w:pPr>
        <w:spacing w:after="140" w:line="276"/>
      </w:pPr>
      <w:r>
        <w:rPr>
          <w:b w:val="false"/>
          <w:bCs w:val="false"/>
          <w:i w:val="false"/>
          <w:iCs w:val="false"/>
          <w:sz w:val="21"/>
          <w:szCs w:val="21"/>
        </w:rPr>
        <w:t xml:space="preserve">It is worth stating why the design does not move to Kafka. At large organisations, this pattern is more often built on Kafka with Debezium than on DMS with Kinesis, because Kafka provides log compaction, a mature schema registry, longer retention, and per-key partitioning without additional configuration.</w:t>
      </w:r>
    </w:p>
    <w:p>
      <w:pPr>
        <w:spacing w:after="140" w:line="276"/>
      </w:pPr>
      <w:r>
        <w:rPr>
          <w:b w:val="false"/>
          <w:bCs w:val="false"/>
          <w:i w:val="false"/>
          <w:iCs w:val="false"/>
          <w:sz w:val="21"/>
          <w:szCs w:val="21"/>
        </w:rPr>
        <w:t xml:space="preserve">That is not a reason to change here. Amazon MSK carries meaningful operational cost, and Kinesis is adequate for the throughput this system is likely to see. Revisit the decision if any of the following becomes true: sustained throughput exceeds a few thousand events per second, multiple teams need to publish to shared topics, retention beyond the Kinesis maximum is required, or the organisation adopts Kafka elsewhere.</w:t>
      </w:r>
    </w:p>
    <w:p>
      <w:pPr>
        <w:pStyle w:val="Heading2"/>
        <w:spacing w:after="120" w:before="260"/>
      </w:pPr>
      <w:r>
        <w:rPr>
          <w:b/>
          <w:bCs/>
          <w:color w:val="1F3864"/>
          <w:sz w:val="25"/>
          <w:szCs w:val="25"/>
        </w:rPr>
        <w:t xml:space="preserve">6.2 On AWS DMS as permanent infrastructure</w:t>
      </w:r>
    </w:p>
    <w:p>
      <w:pPr>
        <w:spacing w:after="140" w:line="276"/>
      </w:pPr>
      <w:r>
        <w:rPr>
          <w:b w:val="false"/>
          <w:bCs w:val="false"/>
          <w:i w:val="false"/>
          <w:iCs w:val="false"/>
          <w:sz w:val="21"/>
          <w:szCs w:val="21"/>
        </w:rPr>
        <w:t xml:space="preserve">DMS is a migration tool being used here as a permanent runtime component. That is common and workable, but it is the part of this stack most likely to be replaced later. Teams running long-lived DMS CDC tasks typically encounter silent task failures, data type edge cases, and restarts requiring manual intervention.</w:t>
      </w:r>
    </w:p>
    <w:p>
      <w:pPr>
        <w:spacing w:after="140" w:line="276"/>
      </w:pPr>
      <w:r>
        <w:rPr>
          <w:b w:val="false"/>
          <w:bCs w:val="false"/>
          <w:i w:val="false"/>
          <w:iCs w:val="false"/>
          <w:sz w:val="21"/>
          <w:szCs w:val="21"/>
        </w:rPr>
        <w:t xml:space="preserve">Two specific configuration warnings apply to a Kinesis target. Batch apply is not supported and, if enabled, causes task failure and data loss. Kinesis targets also perform no deduplication, which reinforces the idempotency requirement in section 3.3.</w:t>
      </w:r>
    </w:p>
    <w:p>
      <w:pPr>
        <w:spacing w:after="140" w:line="276"/>
      </w:pPr>
      <w:r>
        <w:rPr>
          <w:b w:val="false"/>
          <w:bCs w:val="false"/>
          <w:i w:val="false"/>
          <w:iCs w:val="false"/>
          <w:sz w:val="21"/>
          <w:szCs w:val="21"/>
        </w:rPr>
        <w:t xml:space="preserve">Aurora must also be configured for change capture before any of this works, and the cost should be acknowledged in the design: row-based binary logging with full row images on Aurora MySQL, or logical replication on Aurora PostgreSQL. Both carry a write-throughput penalty on the production database.</w:t>
      </w:r>
    </w:p>
    <w:p>
      <w:r>
        <w:br w:type="page"/>
      </w:r>
    </w:p>
    <w:p>
      <w:pPr>
        <w:pStyle w:val="Heading1"/>
        <w:spacing w:after="160" w:before="360"/>
      </w:pPr>
      <w:r>
        <w:rPr>
          <w:b/>
          <w:bCs/>
          <w:color w:val="1F3864"/>
          <w:sz w:val="30"/>
          <w:szCs w:val="30"/>
        </w:rPr>
        <w:t xml:space="preserve">7. Revised end-to-end flow</w:t>
      </w:r>
    </w:p>
    <w:p>
      <w:pPr>
        <w:pStyle w:val="Heading3"/>
        <w:spacing w:after="100" w:before="200"/>
      </w:pPr>
      <w:r>
        <w:rPr>
          <w:b/>
          <w:bCs/>
          <w:color w:val="2F4F7F"/>
          <w:sz w:val="22"/>
          <w:szCs w:val="22"/>
        </w:rPr>
        <w:t xml:space="preserve">Event notification path</w:t>
      </w:r>
    </w:p>
    <w:p>
      <w:pPr>
        <w:pStyle w:val="ListParagraph"/>
        <w:numPr>
          <w:ilvl w:val="0"/>
          <w:numId w:val="3"/>
        </w:numPr>
        <w:spacing w:after="70" w:line="276"/>
      </w:pPr>
      <w:r>
        <w:rPr>
          <w:sz w:val="21"/>
          <w:szCs w:val="21"/>
        </w:rPr>
        <w:t xml:space="preserve">The application writes the business data change and a corresponding outbox row in a single Aurora transaction.</w:t>
      </w:r>
    </w:p>
    <w:p>
      <w:pPr>
        <w:pStyle w:val="ListParagraph"/>
        <w:numPr>
          <w:ilvl w:val="0"/>
          <w:numId w:val="3"/>
        </w:numPr>
        <w:spacing w:after="70" w:line="276"/>
      </w:pPr>
      <w:r>
        <w:rPr>
          <w:sz w:val="21"/>
          <w:szCs w:val="21"/>
        </w:rPr>
        <w:t xml:space="preserve">A DMS Serverless CDC task reads the outbox table from the Aurora transaction log and writes to Kinesis Data Streams, partitioned by aggregate identifier.</w:t>
      </w:r>
    </w:p>
    <w:p>
      <w:pPr>
        <w:pStyle w:val="ListParagraph"/>
        <w:numPr>
          <w:ilvl w:val="0"/>
          <w:numId w:val="3"/>
        </w:numPr>
        <w:spacing w:after="70" w:line="276"/>
      </w:pPr>
      <w:r>
        <w:rPr>
          <w:sz w:val="21"/>
          <w:szCs w:val="21"/>
        </w:rPr>
        <w:t xml:space="preserve">EventBridge Pipes, or Lambda where enrichment is needed, validates the event, maps it to the published contract, and publishes to SNS. Failures route to an on-failure destination rather than blocking the shard.</w:t>
      </w:r>
    </w:p>
    <w:p>
      <w:pPr>
        <w:pStyle w:val="ListParagraph"/>
        <w:numPr>
          <w:ilvl w:val="0"/>
          <w:numId w:val="3"/>
        </w:numPr>
        <w:spacing w:after="70" w:line="276"/>
      </w:pPr>
      <w:r>
        <w:rPr>
          <w:sz w:val="21"/>
          <w:szCs w:val="21"/>
        </w:rPr>
        <w:t xml:space="preserve">SNS distributes to subscribed SQS queues, with a filter policy per subscription so each consumer receives only its event types.</w:t>
      </w:r>
    </w:p>
    <w:p>
      <w:pPr>
        <w:pStyle w:val="ListParagraph"/>
        <w:numPr>
          <w:ilvl w:val="0"/>
          <w:numId w:val="3"/>
        </w:numPr>
        <w:spacing w:after="70" w:line="276"/>
      </w:pPr>
      <w:r>
        <w:rPr>
          <w:sz w:val="21"/>
          <w:szCs w:val="21"/>
        </w:rPr>
        <w:t xml:space="preserve">Each downstream application consumes from its own queue, deduplicates on event_id, and discards any event whose sequence it has already applied. Exhausted messages land in that queue's dead-letter queue.</w:t>
      </w:r>
    </w:p>
    <w:p>
      <w:pPr>
        <w:pStyle w:val="ListParagraph"/>
        <w:numPr>
          <w:ilvl w:val="0"/>
          <w:numId w:val="3"/>
        </w:numPr>
        <w:spacing w:after="70" w:line="276"/>
      </w:pPr>
      <w:r>
        <w:rPr>
          <w:sz w:val="21"/>
          <w:szCs w:val="21"/>
        </w:rPr>
        <w:t xml:space="preserve">In parallel, Firehose writes every event to S3 in Parquet as a permanent archive for replay and audit.</w:t>
      </w:r>
    </w:p>
    <w:p>
      <w:pPr>
        <w:spacing w:after="120"/>
      </w:pPr>
      <w:r>
        <w:rPr>
          <w:sz w:val="2"/>
          <w:szCs w:val="2"/>
        </w:rPr>
        <w:t xml:space="preserve"/>
      </w:r>
    </w:p>
    <w:p>
      <w:pPr>
        <w:pStyle w:val="Heading3"/>
        <w:spacing w:after="100" w:before="200"/>
      </w:pPr>
      <w:r>
        <w:rPr>
          <w:b/>
          <w:bCs/>
          <w:color w:val="2F4F7F"/>
          <w:sz w:val="22"/>
          <w:szCs w:val="22"/>
        </w:rPr>
        <w:t xml:space="preserve">ODS replication path</w:t>
      </w:r>
    </w:p>
    <w:p>
      <w:pPr>
        <w:pStyle w:val="ListParagraph"/>
        <w:numPr>
          <w:ilvl w:val="0"/>
          <w:numId w:val="3"/>
        </w:numPr>
        <w:spacing w:after="70" w:line="276"/>
      </w:pPr>
      <w:r>
        <w:rPr>
          <w:sz w:val="21"/>
          <w:szCs w:val="21"/>
        </w:rPr>
        <w:t xml:space="preserve">A separate DMS CDC task reads base tables from Aurora, following an initial full load to seed the ODS.</w:t>
      </w:r>
    </w:p>
    <w:p>
      <w:pPr>
        <w:pStyle w:val="ListParagraph"/>
        <w:numPr>
          <w:ilvl w:val="0"/>
          <w:numId w:val="3"/>
        </w:numPr>
        <w:spacing w:after="70" w:line="276"/>
      </w:pPr>
      <w:r>
        <w:rPr>
          <w:sz w:val="21"/>
          <w:szCs w:val="21"/>
        </w:rPr>
        <w:t xml:space="preserve">Changes reach Db2 by whichever mechanism is selected from section 5, applying inserts, updates, and deletes.</w:t>
      </w:r>
    </w:p>
    <w:p>
      <w:pPr>
        <w:pStyle w:val="ListParagraph"/>
        <w:numPr>
          <w:ilvl w:val="0"/>
          <w:numId w:val="3"/>
        </w:numPr>
        <w:spacing w:after="70" w:line="276"/>
      </w:pPr>
      <w:r>
        <w:rPr>
          <w:sz w:val="21"/>
          <w:szCs w:val="21"/>
        </w:rPr>
        <w:t xml:space="preserve">Reporting workloads run against the ODS, isolated from production transactions.</w:t>
      </w:r>
    </w:p>
    <w:p>
      <w:pPr>
        <w:spacing w:after="120"/>
      </w:pPr>
      <w:r>
        <w:rPr>
          <w:sz w:val="2"/>
          <w:szCs w:val="2"/>
        </w:rPr>
        <w:t xml:space="preserve"/>
      </w:r>
    </w:p>
    <w:p>
      <w:pPr>
        <w:spacing w:after="140" w:line="276"/>
      </w:pPr>
      <w:r>
        <w:rPr>
          <w:b w:val="false"/>
          <w:bCs w:val="false"/>
          <w:i w:val="false"/>
          <w:iCs w:val="false"/>
          <w:sz w:val="21"/>
          <w:szCs w:val="21"/>
        </w:rPr>
        <w:t xml:space="preserve">The two paths share the Aurora source and nothing else. Neither can stall the other.</w:t>
      </w:r>
    </w:p>
    <w:p>
      <w:pPr>
        <w:pStyle w:val="Heading1"/>
        <w:spacing w:after="160" w:before="360"/>
      </w:pPr>
      <w:r>
        <w:rPr>
          <w:b/>
          <w:bCs/>
          <w:color w:val="1F3864"/>
          <w:sz w:val="30"/>
          <w:szCs w:val="30"/>
        </w:rPr>
        <w:t xml:space="preserve">8. Operational requirements</w:t>
      </w:r>
    </w:p>
    <w:p>
      <w:pPr>
        <w:pStyle w:val="Heading2"/>
        <w:spacing w:after="120" w:before="260"/>
      </w:pPr>
      <w:r>
        <w:rPr>
          <w:b/>
          <w:bCs/>
          <w:color w:val="1F3864"/>
          <w:sz w:val="25"/>
          <w:szCs w:val="25"/>
        </w:rPr>
        <w:t xml:space="preserve">8.1 Monitoring and alerting</w:t>
      </w:r>
    </w:p>
    <w:p>
      <w:pPr>
        <w:spacing w:after="140" w:line="276"/>
      </w:pPr>
      <w:r>
        <w:rPr>
          <w:b w:val="false"/>
          <w:bCs w:val="false"/>
          <w:i w:val="false"/>
          <w:iCs w:val="false"/>
          <w:sz w:val="21"/>
          <w:szCs w:val="21"/>
        </w:rPr>
        <w:t xml:space="preserve">None of this appears in the current document. These are the minimum alarms for a pipeline of this shape.</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960"/>
      </w:tblGrid>
      <w:tr>
        <w:trPr>
          <w:tblHeader/>
        </w:trPr>
        <w:tc>
          <w:tcPr>
            <w:tcW w:type="dxa" w:w="2100"/>
            <w:shd w:fill="1F3864" w:val="clear"/>
            <w:tcMar>
              <w:top w:type="dxa" w:w="90"/>
              <w:left w:type="dxa" w:w="110"/>
              <w:bottom w:type="dxa" w:w="90"/>
              <w:right w:type="dxa" w:w="110"/>
            </w:tcMar>
          </w:tcPr>
          <w:p>
            <w:r>
              <w:rPr>
                <w:b/>
                <w:bCs/>
                <w:color w:val="FFFFFF"/>
                <w:sz w:val="19"/>
                <w:szCs w:val="19"/>
              </w:rPr>
              <w:t xml:space="preserve">Metric</w:t>
            </w:r>
          </w:p>
        </w:tc>
        <w:tc>
          <w:tcPr>
            <w:tcW w:type="dxa" w:w="1300"/>
            <w:shd w:fill="1F3864" w:val="clear"/>
            <w:tcMar>
              <w:top w:type="dxa" w:w="90"/>
              <w:left w:type="dxa" w:w="110"/>
              <w:bottom w:type="dxa" w:w="90"/>
              <w:right w:type="dxa" w:w="110"/>
            </w:tcMar>
          </w:tcPr>
          <w:p>
            <w:r>
              <w:rPr>
                <w:b/>
                <w:bCs/>
                <w:color w:val="FFFFFF"/>
                <w:sz w:val="19"/>
                <w:szCs w:val="19"/>
              </w:rPr>
              <w:t xml:space="preserve">Source</w:t>
            </w:r>
          </w:p>
        </w:tc>
        <w:tc>
          <w:tcPr>
            <w:tcW w:type="dxa" w:w="5960"/>
            <w:shd w:fill="1F3864" w:val="clear"/>
            <w:tcMar>
              <w:top w:type="dxa" w:w="90"/>
              <w:left w:type="dxa" w:w="110"/>
              <w:bottom w:type="dxa" w:w="90"/>
              <w:right w:type="dxa" w:w="110"/>
            </w:tcMar>
          </w:tcPr>
          <w:p>
            <w:r>
              <w:rPr>
                <w:b/>
                <w:bCs/>
                <w:color w:val="FFFFFF"/>
                <w:sz w:val="19"/>
                <w:szCs w:val="19"/>
              </w:rPr>
              <w:t xml:space="preserve">Why it matters</w:t>
            </w:r>
          </w:p>
        </w:tc>
      </w:tr>
      <w:tr>
        <w:tc>
          <w:tcPr>
            <w:tcW w:type="dxa" w:w="2100"/>
            <w:shd w:fill="FFFFFF" w:val="clear"/>
            <w:tcMar>
              <w:top w:type="dxa" w:w="90"/>
              <w:left w:type="dxa" w:w="110"/>
              <w:bottom w:type="dxa" w:w="90"/>
              <w:right w:type="dxa" w:w="110"/>
            </w:tcMar>
          </w:tcPr>
          <w:p>
            <w:pPr>
              <w:spacing w:after="0" w:line="264"/>
            </w:pPr>
            <w:r>
              <w:rPr>
                <w:b/>
                <w:bCs/>
                <w:sz w:val="19"/>
                <w:szCs w:val="19"/>
              </w:rPr>
              <w:t xml:space="preserve">GetRecords.IteratorAge</w:t>
            </w:r>
          </w:p>
        </w:tc>
        <w:tc>
          <w:tcPr>
            <w:tcW w:type="dxa" w:w="1300"/>
            <w:shd w:fill="FFFFFF" w:val="clear"/>
            <w:tcMar>
              <w:top w:type="dxa" w:w="90"/>
              <w:left w:type="dxa" w:w="110"/>
              <w:bottom w:type="dxa" w:w="90"/>
              <w:right w:type="dxa" w:w="110"/>
            </w:tcMar>
          </w:tcPr>
          <w:p>
            <w:pPr>
              <w:spacing w:after="0" w:line="264"/>
            </w:pPr>
            <w:r>
              <w:rPr>
                <w:b w:val="false"/>
                <w:bCs w:val="false"/>
                <w:sz w:val="19"/>
                <w:szCs w:val="19"/>
              </w:rPr>
              <w:t xml:space="preserve">Kinesis</w:t>
            </w:r>
          </w:p>
        </w:tc>
        <w:tc>
          <w:tcPr>
            <w:tcW w:type="dxa" w:w="5960"/>
            <w:shd w:fill="FFFFFF" w:val="clear"/>
            <w:tcMar>
              <w:top w:type="dxa" w:w="90"/>
              <w:left w:type="dxa" w:w="110"/>
              <w:bottom w:type="dxa" w:w="90"/>
              <w:right w:type="dxa" w:w="110"/>
            </w:tcMar>
          </w:tcPr>
          <w:p>
            <w:pPr>
              <w:spacing w:after="0" w:line="264"/>
            </w:pPr>
            <w:r>
              <w:rPr>
                <w:b w:val="false"/>
                <w:bCs w:val="false"/>
                <w:sz w:val="19"/>
                <w:szCs w:val="19"/>
              </w:rPr>
              <w:t xml:space="preserve">The single most important metric here. A rising iterator age means consumers are falling behind and is the earliest warning of a stalled shard.</w:t>
            </w:r>
          </w:p>
        </w:tc>
      </w:tr>
      <w:tr>
        <w:tc>
          <w:tcPr>
            <w:tcW w:type="dxa" w:w="2100"/>
            <w:shd w:fill="F2F5F9" w:val="clear"/>
            <w:tcMar>
              <w:top w:type="dxa" w:w="90"/>
              <w:left w:type="dxa" w:w="110"/>
              <w:bottom w:type="dxa" w:w="90"/>
              <w:right w:type="dxa" w:w="110"/>
            </w:tcMar>
          </w:tcPr>
          <w:p>
            <w:pPr>
              <w:spacing w:after="0" w:line="264"/>
            </w:pPr>
            <w:r>
              <w:rPr>
                <w:b/>
                <w:bCs/>
                <w:sz w:val="19"/>
                <w:szCs w:val="19"/>
              </w:rPr>
              <w:t xml:space="preserve">CDCLatencySource and CDCLatencyTarget</w:t>
            </w:r>
          </w:p>
        </w:tc>
        <w:tc>
          <w:tcPr>
            <w:tcW w:type="dxa" w:w="1300"/>
            <w:shd w:fill="F2F5F9" w:val="clear"/>
            <w:tcMar>
              <w:top w:type="dxa" w:w="90"/>
              <w:left w:type="dxa" w:w="110"/>
              <w:bottom w:type="dxa" w:w="90"/>
              <w:right w:type="dxa" w:w="110"/>
            </w:tcMar>
          </w:tcPr>
          <w:p>
            <w:pPr>
              <w:spacing w:after="0" w:line="264"/>
            </w:pPr>
            <w:r>
              <w:rPr>
                <w:b w:val="false"/>
                <w:bCs w:val="false"/>
                <w:sz w:val="19"/>
                <w:szCs w:val="19"/>
              </w:rPr>
              <w:t xml:space="preserve">AWS DMS</w:t>
            </w:r>
          </w:p>
        </w:tc>
        <w:tc>
          <w:tcPr>
            <w:tcW w:type="dxa" w:w="5960"/>
            <w:shd w:fill="F2F5F9" w:val="clear"/>
            <w:tcMar>
              <w:top w:type="dxa" w:w="90"/>
              <w:left w:type="dxa" w:w="110"/>
              <w:bottom w:type="dxa" w:w="90"/>
              <w:right w:type="dxa" w:w="110"/>
            </w:tcMar>
          </w:tcPr>
          <w:p>
            <w:pPr>
              <w:spacing w:after="0" w:line="264"/>
            </w:pPr>
            <w:r>
              <w:rPr>
                <w:b w:val="false"/>
                <w:bCs w:val="false"/>
                <w:sz w:val="19"/>
                <w:szCs w:val="19"/>
              </w:rPr>
              <w:t xml:space="preserve">Distinguishes a slow source read from a slow target write. Rising target latency usually indicates a downstream problem, not a database one.</w:t>
            </w:r>
          </w:p>
        </w:tc>
      </w:tr>
      <w:tr>
        <w:tc>
          <w:tcPr>
            <w:tcW w:type="dxa" w:w="2100"/>
            <w:shd w:fill="FFFFFF" w:val="clear"/>
            <w:tcMar>
              <w:top w:type="dxa" w:w="90"/>
              <w:left w:type="dxa" w:w="110"/>
              <w:bottom w:type="dxa" w:w="90"/>
              <w:right w:type="dxa" w:w="110"/>
            </w:tcMar>
          </w:tcPr>
          <w:p>
            <w:pPr>
              <w:spacing w:after="0" w:line="264"/>
            </w:pPr>
            <w:r>
              <w:rPr>
                <w:b/>
                <w:bCs/>
                <w:sz w:val="19"/>
                <w:szCs w:val="19"/>
              </w:rPr>
              <w:t xml:space="preserve">Task state and replication task failures</w:t>
            </w:r>
          </w:p>
        </w:tc>
        <w:tc>
          <w:tcPr>
            <w:tcW w:type="dxa" w:w="1300"/>
            <w:shd w:fill="FFFFFF" w:val="clear"/>
            <w:tcMar>
              <w:top w:type="dxa" w:w="90"/>
              <w:left w:type="dxa" w:w="110"/>
              <w:bottom w:type="dxa" w:w="90"/>
              <w:right w:type="dxa" w:w="110"/>
            </w:tcMar>
          </w:tcPr>
          <w:p>
            <w:pPr>
              <w:spacing w:after="0" w:line="264"/>
            </w:pPr>
            <w:r>
              <w:rPr>
                <w:b w:val="false"/>
                <w:bCs w:val="false"/>
                <w:sz w:val="19"/>
                <w:szCs w:val="19"/>
              </w:rPr>
              <w:t xml:space="preserve">AWS DMS</w:t>
            </w:r>
          </w:p>
        </w:tc>
        <w:tc>
          <w:tcPr>
            <w:tcW w:type="dxa" w:w="5960"/>
            <w:shd w:fill="FFFFFF" w:val="clear"/>
            <w:tcMar>
              <w:top w:type="dxa" w:w="90"/>
              <w:left w:type="dxa" w:w="110"/>
              <w:bottom w:type="dxa" w:w="90"/>
              <w:right w:type="dxa" w:w="110"/>
            </w:tcMar>
          </w:tcPr>
          <w:p>
            <w:pPr>
              <w:spacing w:after="0" w:line="264"/>
            </w:pPr>
            <w:r>
              <w:rPr>
                <w:b w:val="false"/>
                <w:bCs w:val="false"/>
                <w:sz w:val="19"/>
                <w:szCs w:val="19"/>
              </w:rPr>
              <w:t xml:space="preserve">DMS tasks can stop without an obvious signal. Alarm on state transitions, not just errors.</w:t>
            </w:r>
          </w:p>
        </w:tc>
      </w:tr>
      <w:tr>
        <w:tc>
          <w:tcPr>
            <w:tcW w:type="dxa" w:w="2100"/>
            <w:shd w:fill="F2F5F9" w:val="clear"/>
            <w:tcMar>
              <w:top w:type="dxa" w:w="90"/>
              <w:left w:type="dxa" w:w="110"/>
              <w:bottom w:type="dxa" w:w="90"/>
              <w:right w:type="dxa" w:w="110"/>
            </w:tcMar>
          </w:tcPr>
          <w:p>
            <w:pPr>
              <w:spacing w:after="0" w:line="264"/>
            </w:pPr>
            <w:r>
              <w:rPr>
                <w:b/>
                <w:bCs/>
                <w:sz w:val="19"/>
                <w:szCs w:val="19"/>
              </w:rPr>
              <w:t xml:space="preserve">ApproximateAgeOfOldestMessage</w:t>
            </w:r>
          </w:p>
        </w:tc>
        <w:tc>
          <w:tcPr>
            <w:tcW w:type="dxa" w:w="1300"/>
            <w:shd w:fill="F2F5F9" w:val="clear"/>
            <w:tcMar>
              <w:top w:type="dxa" w:w="90"/>
              <w:left w:type="dxa" w:w="110"/>
              <w:bottom w:type="dxa" w:w="90"/>
              <w:right w:type="dxa" w:w="110"/>
            </w:tcMar>
          </w:tcPr>
          <w:p>
            <w:pPr>
              <w:spacing w:after="0" w:line="264"/>
            </w:pPr>
            <w:r>
              <w:rPr>
                <w:b w:val="false"/>
                <w:bCs w:val="false"/>
                <w:sz w:val="19"/>
                <w:szCs w:val="19"/>
              </w:rPr>
              <w:t xml:space="preserve">SQS</w:t>
            </w:r>
          </w:p>
        </w:tc>
        <w:tc>
          <w:tcPr>
            <w:tcW w:type="dxa" w:w="5960"/>
            <w:shd w:fill="F2F5F9" w:val="clear"/>
            <w:tcMar>
              <w:top w:type="dxa" w:w="90"/>
              <w:left w:type="dxa" w:w="110"/>
              <w:bottom w:type="dxa" w:w="90"/>
              <w:right w:type="dxa" w:w="110"/>
            </w:tcMar>
          </w:tcPr>
          <w:p>
            <w:pPr>
              <w:spacing w:after="0" w:line="264"/>
            </w:pPr>
            <w:r>
              <w:rPr>
                <w:b w:val="false"/>
                <w:bCs w:val="false"/>
                <w:sz w:val="19"/>
                <w:szCs w:val="19"/>
              </w:rPr>
              <w:t xml:space="preserve">Detects a stalled or absent consumer before the queue reaches its retention limit.</w:t>
            </w:r>
          </w:p>
        </w:tc>
      </w:tr>
      <w:tr>
        <w:tc>
          <w:tcPr>
            <w:tcW w:type="dxa" w:w="2100"/>
            <w:shd w:fill="FFFFFF" w:val="clear"/>
            <w:tcMar>
              <w:top w:type="dxa" w:w="90"/>
              <w:left w:type="dxa" w:w="110"/>
              <w:bottom w:type="dxa" w:w="90"/>
              <w:right w:type="dxa" w:w="110"/>
            </w:tcMar>
          </w:tcPr>
          <w:p>
            <w:pPr>
              <w:spacing w:after="0" w:line="264"/>
            </w:pPr>
            <w:r>
              <w:rPr>
                <w:b/>
                <w:bCs/>
                <w:sz w:val="19"/>
                <w:szCs w:val="19"/>
              </w:rPr>
              <w:t xml:space="preserve">Dead-letter queue depth</w:t>
            </w:r>
          </w:p>
        </w:tc>
        <w:tc>
          <w:tcPr>
            <w:tcW w:type="dxa" w:w="1300"/>
            <w:shd w:fill="FFFFFF" w:val="clear"/>
            <w:tcMar>
              <w:top w:type="dxa" w:w="90"/>
              <w:left w:type="dxa" w:w="110"/>
              <w:bottom w:type="dxa" w:w="90"/>
              <w:right w:type="dxa" w:w="110"/>
            </w:tcMar>
          </w:tcPr>
          <w:p>
            <w:pPr>
              <w:spacing w:after="0" w:line="264"/>
            </w:pPr>
            <w:r>
              <w:rPr>
                <w:b w:val="false"/>
                <w:bCs w:val="false"/>
                <w:sz w:val="19"/>
                <w:szCs w:val="19"/>
              </w:rPr>
              <w:t xml:space="preserve">SQS</w:t>
            </w:r>
          </w:p>
        </w:tc>
        <w:tc>
          <w:tcPr>
            <w:tcW w:type="dxa" w:w="5960"/>
            <w:shd w:fill="FFFFFF" w:val="clear"/>
            <w:tcMar>
              <w:top w:type="dxa" w:w="90"/>
              <w:left w:type="dxa" w:w="110"/>
              <w:bottom w:type="dxa" w:w="90"/>
              <w:right w:type="dxa" w:w="110"/>
            </w:tcMar>
          </w:tcPr>
          <w:p>
            <w:pPr>
              <w:spacing w:after="0" w:line="264"/>
            </w:pPr>
            <w:r>
              <w:rPr>
                <w:b w:val="false"/>
                <w:bCs w:val="false"/>
                <w:sz w:val="19"/>
                <w:szCs w:val="19"/>
              </w:rPr>
              <w:t xml:space="preserve">Any non-zero value warrants investigation. Should alarm at one message, not a threshold.</w:t>
            </w:r>
          </w:p>
        </w:tc>
      </w:tr>
      <w:tr>
        <w:tc>
          <w:tcPr>
            <w:tcW w:type="dxa" w:w="2100"/>
            <w:shd w:fill="F2F5F9" w:val="clear"/>
            <w:tcMar>
              <w:top w:type="dxa" w:w="90"/>
              <w:left w:type="dxa" w:w="110"/>
              <w:bottom w:type="dxa" w:w="90"/>
              <w:right w:type="dxa" w:w="110"/>
            </w:tcMar>
          </w:tcPr>
          <w:p>
            <w:pPr>
              <w:spacing w:after="0" w:line="264"/>
            </w:pPr>
            <w:r>
              <w:rPr>
                <w:b/>
                <w:bCs/>
                <w:sz w:val="19"/>
                <w:szCs w:val="19"/>
              </w:rPr>
              <w:t xml:space="preserve">Errors, Throttles, IteratorAge</w:t>
            </w:r>
          </w:p>
        </w:tc>
        <w:tc>
          <w:tcPr>
            <w:tcW w:type="dxa" w:w="1300"/>
            <w:shd w:fill="F2F5F9" w:val="clear"/>
            <w:tcMar>
              <w:top w:type="dxa" w:w="90"/>
              <w:left w:type="dxa" w:w="110"/>
              <w:bottom w:type="dxa" w:w="90"/>
              <w:right w:type="dxa" w:w="110"/>
            </w:tcMar>
          </w:tcPr>
          <w:p>
            <w:pPr>
              <w:spacing w:after="0" w:line="264"/>
            </w:pPr>
            <w:r>
              <w:rPr>
                <w:b w:val="false"/>
                <w:bCs w:val="false"/>
                <w:sz w:val="19"/>
                <w:szCs w:val="19"/>
              </w:rPr>
              <w:t xml:space="preserve">Lambda</w:t>
            </w:r>
          </w:p>
        </w:tc>
        <w:tc>
          <w:tcPr>
            <w:tcW w:type="dxa" w:w="5960"/>
            <w:shd w:fill="F2F5F9" w:val="clear"/>
            <w:tcMar>
              <w:top w:type="dxa" w:w="90"/>
              <w:left w:type="dxa" w:w="110"/>
              <w:bottom w:type="dxa" w:w="90"/>
              <w:right w:type="dxa" w:w="110"/>
            </w:tcMar>
          </w:tcPr>
          <w:p>
            <w:pPr>
              <w:spacing w:after="0" w:line="264"/>
            </w:pPr>
            <w:r>
              <w:rPr>
                <w:b w:val="false"/>
                <w:bCs w:val="false"/>
                <w:sz w:val="19"/>
                <w:szCs w:val="19"/>
              </w:rPr>
              <w:t xml:space="preserve">Catches poison-pill records and concurrency limits.</w:t>
            </w:r>
          </w:p>
        </w:tc>
      </w:tr>
    </w:tbl>
    <w:p>
      <w:pPr>
        <w:spacing w:after="160"/>
      </w:pPr>
      <w:r>
        <w:rPr>
          <w:sz w:val="2"/>
          <w:szCs w:val="2"/>
        </w:rPr>
        <w:t xml:space="preserve"/>
      </w:r>
    </w:p>
    <w:p>
      <w:pPr>
        <w:spacing w:after="140" w:line="276"/>
      </w:pPr>
      <w:r>
        <w:rPr>
          <w:b w:val="false"/>
          <w:bCs w:val="false"/>
          <w:i w:val="false"/>
          <w:iCs w:val="false"/>
          <w:sz w:val="21"/>
          <w:szCs w:val="21"/>
        </w:rPr>
        <w:t xml:space="preserve">A correlation identifier should be carried from the originating transaction through to consumer acknowledgement, so a single business change can be traced end to end when something goes wrong.</w:t>
      </w:r>
    </w:p>
    <w:p>
      <w:pPr>
        <w:pStyle w:val="Heading2"/>
        <w:spacing w:after="120" w:before="260"/>
      </w:pPr>
      <w:r>
        <w:rPr>
          <w:b/>
          <w:bCs/>
          <w:color w:val="1F3864"/>
          <w:sz w:val="25"/>
          <w:szCs w:val="25"/>
        </w:rPr>
        <w:t xml:space="preserve">8.2 Backfill and replay</w:t>
      </w:r>
    </w:p>
    <w:p>
      <w:pPr>
        <w:spacing w:after="140" w:line="276"/>
      </w:pPr>
      <w:r>
        <w:rPr>
          <w:b w:val="false"/>
          <w:bCs w:val="false"/>
          <w:i w:val="false"/>
          <w:iCs w:val="false"/>
          <w:sz w:val="21"/>
          <w:szCs w:val="21"/>
        </w:rPr>
        <w:t xml:space="preserve">The original document claims replay capability as a benefit of Kinesis but defines no procedure. Two distinct scenarios need documented runbooks:</w:t>
      </w:r>
    </w:p>
    <w:p>
      <w:pPr>
        <w:pStyle w:val="ListParagraph"/>
        <w:numPr>
          <w:ilvl w:val="0"/>
          <w:numId w:val="2"/>
        </w:numPr>
        <w:spacing w:after="70" w:line="276"/>
      </w:pPr>
      <w:r>
        <w:rPr>
          <w:sz w:val="21"/>
          <w:szCs w:val="21"/>
        </w:rPr>
        <w:t xml:space="preserve">Onboarding a new consumer that needs history predating its subscription. Sourced from the S3 event archive, not from the stream.</w:t>
      </w:r>
    </w:p>
    <w:p>
      <w:pPr>
        <w:pStyle w:val="ListParagraph"/>
        <w:numPr>
          <w:ilvl w:val="0"/>
          <w:numId w:val="2"/>
        </w:numPr>
        <w:spacing w:after="70" w:line="276"/>
      </w:pPr>
      <w:r>
        <w:rPr>
          <w:sz w:val="21"/>
          <w:szCs w:val="21"/>
        </w:rPr>
        <w:t xml:space="preserve">Recovering from a consumer defect that processed events incorrectly. Requires either replay from S3 or a stream re-read from a timestamp, and depends on consumers being idempotent.</w:t>
      </w:r>
    </w:p>
    <w:p>
      <w:pPr>
        <w:spacing w:after="140" w:line="276"/>
      </w:pPr>
      <w:r>
        <w:rPr>
          <w:b w:val="false"/>
          <w:bCs w:val="false"/>
          <w:i w:val="false"/>
          <w:iCs w:val="false"/>
          <w:sz w:val="21"/>
          <w:szCs w:val="21"/>
        </w:rPr>
        <w:t xml:space="preserve">Initial ODS seeding also needs specifying: a DMS full load followed by CDC, with a defined cutover point so that no changes are lost or applied twice in the transition.</w:t>
      </w:r>
    </w:p>
    <w:p>
      <w:pPr>
        <w:pStyle w:val="Heading2"/>
        <w:spacing w:after="120" w:before="260"/>
      </w:pPr>
      <w:r>
        <w:rPr>
          <w:b/>
          <w:bCs/>
          <w:color w:val="1F3864"/>
          <w:sz w:val="25"/>
          <w:szCs w:val="25"/>
        </w:rPr>
        <w:t xml:space="preserve">8.3 Security</w:t>
      </w:r>
    </w:p>
    <w:p>
      <w:pPr>
        <w:pStyle w:val="ListParagraph"/>
        <w:numPr>
          <w:ilvl w:val="0"/>
          <w:numId w:val="2"/>
        </w:numPr>
        <w:spacing w:after="70" w:line="276"/>
      </w:pPr>
      <w:r>
        <w:rPr>
          <w:sz w:val="21"/>
          <w:szCs w:val="21"/>
        </w:rPr>
        <w:t xml:space="preserve">Customer-managed KMS keys on the Kinesis stream, SNS topic, SQS queues, and S3 archive</w:t>
      </w:r>
    </w:p>
    <w:p>
      <w:pPr>
        <w:pStyle w:val="ListParagraph"/>
        <w:numPr>
          <w:ilvl w:val="0"/>
          <w:numId w:val="2"/>
        </w:numPr>
        <w:spacing w:after="70" w:line="276"/>
      </w:pPr>
      <w:r>
        <w:rPr>
          <w:sz w:val="21"/>
          <w:szCs w:val="21"/>
        </w:rPr>
        <w:t xml:space="preserve">VPC endpoints for Kinesis, SNS, and SQS so traffic does not traverse the public internet</w:t>
      </w:r>
    </w:p>
    <w:p>
      <w:pPr>
        <w:pStyle w:val="ListParagraph"/>
        <w:numPr>
          <w:ilvl w:val="0"/>
          <w:numId w:val="2"/>
        </w:numPr>
        <w:spacing w:after="70" w:line="276"/>
      </w:pPr>
      <w:r>
        <w:rPr>
          <w:sz w:val="21"/>
          <w:szCs w:val="21"/>
        </w:rPr>
        <w:t xml:space="preserve">IAM policies scoped per consumer, with each application able to read only its own queue</w:t>
      </w:r>
    </w:p>
    <w:p>
      <w:pPr>
        <w:pStyle w:val="ListParagraph"/>
        <w:numPr>
          <w:ilvl w:val="0"/>
          <w:numId w:val="2"/>
        </w:numPr>
        <w:spacing w:after="70" w:line="276"/>
      </w:pPr>
      <w:r>
        <w:rPr>
          <w:sz w:val="21"/>
          <w:szCs w:val="21"/>
        </w:rPr>
        <w:t xml:space="preserve">Queue access policies restricting sends to the SNS topic ARN</w:t>
      </w:r>
    </w:p>
    <w:p>
      <w:pPr>
        <w:pStyle w:val="ListParagraph"/>
        <w:numPr>
          <w:ilvl w:val="0"/>
          <w:numId w:val="2"/>
        </w:numPr>
        <w:spacing w:after="70" w:line="276"/>
      </w:pPr>
      <w:r>
        <w:rPr>
          <w:sz w:val="21"/>
          <w:szCs w:val="21"/>
        </w:rPr>
        <w:t xml:space="preserve">An explicit position on personal data in event payloads, including whether fields require tokenisation before publication</w:t>
      </w:r>
    </w:p>
    <w:p>
      <w:pPr>
        <w:pStyle w:val="ListParagraph"/>
        <w:numPr>
          <w:ilvl w:val="0"/>
          <w:numId w:val="2"/>
        </w:numPr>
        <w:spacing w:after="70" w:line="276"/>
      </w:pPr>
      <w:r>
        <w:rPr>
          <w:sz w:val="21"/>
          <w:szCs w:val="21"/>
        </w:rPr>
        <w:t xml:space="preserve">Secrets for DMS endpoints held in AWS Secrets Manager with rotation enabled</w:t>
      </w:r>
    </w:p>
    <w:p>
      <w:pPr>
        <w:pStyle w:val="Heading2"/>
        <w:spacing w:after="120" w:before="260"/>
      </w:pPr>
      <w:r>
        <w:rPr>
          <w:b/>
          <w:bCs/>
          <w:color w:val="1F3864"/>
          <w:sz w:val="25"/>
          <w:szCs w:val="25"/>
        </w:rPr>
        <w:t xml:space="preserve">8.4 Capacity and cost</w:t>
      </w:r>
    </w:p>
    <w:p>
      <w:pPr>
        <w:spacing w:after="140" w:line="276"/>
      </w:pPr>
      <w:r>
        <w:rPr>
          <w:b w:val="false"/>
          <w:bCs w:val="false"/>
          <w:i w:val="false"/>
          <w:iCs w:val="false"/>
          <w:sz w:val="21"/>
          <w:szCs w:val="21"/>
        </w:rPr>
        <w:t xml:space="preserve">The design should state expected event volume, peak rate, and average payload size, because these determine shard count, whether FIFO throughput limits are viable, and the cost profile. Two constraints are worth recording explicitly: each Kinesis shard supports 1 MB per second and 1,000 records per second on write, and 2 MB per second on read shared across all consumers unless enhanced fan-out is enabled. A third and fourth consumer on the same stream will contend for that read throughput.</w:t>
      </w:r>
    </w:p>
    <w:p>
      <w:r>
        <w:br w:type="page"/>
      </w:r>
    </w:p>
    <w:p>
      <w:pPr>
        <w:pStyle w:val="Heading1"/>
        <w:spacing w:after="160" w:before="360"/>
      </w:pPr>
      <w:r>
        <w:rPr>
          <w:b/>
          <w:bCs/>
          <w:color w:val="1F3864"/>
          <w:sz w:val="30"/>
          <w:szCs w:val="30"/>
        </w:rPr>
        <w:t xml:space="preserve">9. Open questions</w:t>
      </w:r>
    </w:p>
    <w:p>
      <w:pPr>
        <w:spacing w:after="140" w:line="276"/>
      </w:pPr>
      <w:r>
        <w:rPr>
          <w:b w:val="false"/>
          <w:bCs w:val="false"/>
          <w:i w:val="false"/>
          <w:iCs w:val="false"/>
          <w:sz w:val="21"/>
          <w:szCs w:val="21"/>
        </w:rPr>
        <w:t xml:space="preserve">These should be answered before implementation begins. The first is blocking.</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4760"/>
      </w:tblGrid>
      <w:tr>
        <w:trPr>
          <w:tblHeader/>
        </w:trPr>
        <w:tc>
          <w:tcPr>
            <w:tcW w:type="dxa" w:w="500"/>
            <w:shd w:fill="1F3864" w:val="clear"/>
            <w:tcMar>
              <w:top w:type="dxa" w:w="90"/>
              <w:left w:type="dxa" w:w="110"/>
              <w:bottom w:type="dxa" w:w="90"/>
              <w:right w:type="dxa" w:w="110"/>
            </w:tcMar>
          </w:tcPr>
          <w:p>
            <w:r>
              <w:rPr>
                <w:b/>
                <w:bCs/>
                <w:color w:val="FFFFFF"/>
                <w:sz w:val="19"/>
                <w:szCs w:val="19"/>
              </w:rPr>
              <w:t xml:space="preserve">#</w:t>
            </w:r>
          </w:p>
        </w:tc>
        <w:tc>
          <w:tcPr>
            <w:tcW w:type="dxa" w:w="4100"/>
            <w:shd w:fill="1F3864" w:val="clear"/>
            <w:tcMar>
              <w:top w:type="dxa" w:w="90"/>
              <w:left w:type="dxa" w:w="110"/>
              <w:bottom w:type="dxa" w:w="90"/>
              <w:right w:type="dxa" w:w="110"/>
            </w:tcMar>
          </w:tcPr>
          <w:p>
            <w:r>
              <w:rPr>
                <w:b/>
                <w:bCs/>
                <w:color w:val="FFFFFF"/>
                <w:sz w:val="19"/>
                <w:szCs w:val="19"/>
              </w:rPr>
              <w:t xml:space="preserve">Question</w:t>
            </w:r>
          </w:p>
        </w:tc>
        <w:tc>
          <w:tcPr>
            <w:tcW w:type="dxa" w:w="4760"/>
            <w:shd w:fill="1F3864" w:val="clear"/>
            <w:tcMar>
              <w:top w:type="dxa" w:w="90"/>
              <w:left w:type="dxa" w:w="110"/>
              <w:bottom w:type="dxa" w:w="90"/>
              <w:right w:type="dxa" w:w="110"/>
            </w:tcMar>
          </w:tcPr>
          <w:p>
            <w:r>
              <w:rPr>
                <w:b/>
                <w:bCs/>
                <w:color w:val="FFFFFF"/>
                <w:sz w:val="19"/>
                <w:szCs w:val="19"/>
              </w:rPr>
              <w:t xml:space="preserve">Why it matters</w:t>
            </w:r>
          </w:p>
        </w:tc>
      </w:tr>
      <w:tr>
        <w:tc>
          <w:tcPr>
            <w:tcW w:type="dxa" w:w="500"/>
            <w:shd w:fill="FFFFFF" w:val="clear"/>
            <w:tcMar>
              <w:top w:type="dxa" w:w="90"/>
              <w:left w:type="dxa" w:w="110"/>
              <w:bottom w:type="dxa" w:w="90"/>
              <w:right w:type="dxa" w:w="110"/>
            </w:tcMar>
          </w:tcPr>
          <w:p>
            <w:pPr>
              <w:spacing w:after="0" w:line="264"/>
            </w:pPr>
            <w:r>
              <w:rPr>
                <w:b/>
                <w:bCs/>
                <w:sz w:val="19"/>
                <w:szCs w:val="19"/>
              </w:rPr>
              <w:t xml:space="preserve">1</w:t>
            </w:r>
          </w:p>
        </w:tc>
        <w:tc>
          <w:tcPr>
            <w:tcW w:type="dxa" w:w="4100"/>
            <w:shd w:fill="FFFFFF" w:val="clear"/>
            <w:tcMar>
              <w:top w:type="dxa" w:w="90"/>
              <w:left w:type="dxa" w:w="110"/>
              <w:bottom w:type="dxa" w:w="90"/>
              <w:right w:type="dxa" w:w="110"/>
            </w:tcMar>
          </w:tcPr>
          <w:p>
            <w:pPr>
              <w:spacing w:after="0" w:line="264"/>
            </w:pPr>
            <w:r>
              <w:rPr>
                <w:b w:val="false"/>
                <w:bCs w:val="false"/>
                <w:sz w:val="19"/>
                <w:szCs w:val="19"/>
              </w:rPr>
              <w:t xml:space="preserve">Which Db2 is the ODS: Db2 for z/OS, Db2 LUW, or Amazon RDS for Db2?</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Determines which options in section 5 are available. Blocking.</w:t>
            </w:r>
          </w:p>
        </w:tc>
      </w:tr>
      <w:tr>
        <w:tc>
          <w:tcPr>
            <w:tcW w:type="dxa" w:w="500"/>
            <w:shd w:fill="F2F5F9" w:val="clear"/>
            <w:tcMar>
              <w:top w:type="dxa" w:w="90"/>
              <w:left w:type="dxa" w:w="110"/>
              <w:bottom w:type="dxa" w:w="90"/>
              <w:right w:type="dxa" w:w="110"/>
            </w:tcMar>
          </w:tcPr>
          <w:p>
            <w:pPr>
              <w:spacing w:after="0" w:line="264"/>
            </w:pPr>
            <w:r>
              <w:rPr>
                <w:b/>
                <w:bCs/>
                <w:sz w:val="19"/>
                <w:szCs w:val="19"/>
              </w:rPr>
              <w:t xml:space="preserve">2</w:t>
            </w:r>
          </w:p>
        </w:tc>
        <w:tc>
          <w:tcPr>
            <w:tcW w:type="dxa" w:w="4100"/>
            <w:shd w:fill="F2F5F9" w:val="clear"/>
            <w:tcMar>
              <w:top w:type="dxa" w:w="90"/>
              <w:left w:type="dxa" w:w="110"/>
              <w:bottom w:type="dxa" w:w="90"/>
              <w:right w:type="dxa" w:w="110"/>
            </w:tcMar>
          </w:tcPr>
          <w:p>
            <w:pPr>
              <w:spacing w:after="0" w:line="264"/>
            </w:pPr>
            <w:r>
              <w:rPr>
                <w:b w:val="false"/>
                <w:bCs w:val="false"/>
                <w:sz w:val="19"/>
                <w:szCs w:val="19"/>
              </w:rPr>
              <w:t xml:space="preserve">Is the mainframe the required ODS, or is it the ODS because mainframe programs consume the data?</w:t>
            </w:r>
          </w:p>
        </w:tc>
        <w:tc>
          <w:tcPr>
            <w:tcW w:type="dxa" w:w="4760"/>
            <w:shd w:fill="F2F5F9" w:val="clear"/>
            <w:tcMar>
              <w:top w:type="dxa" w:w="90"/>
              <w:left w:type="dxa" w:w="110"/>
              <w:bottom w:type="dxa" w:w="90"/>
              <w:right w:type="dxa" w:w="110"/>
            </w:tcMar>
          </w:tcPr>
          <w:p>
            <w:pPr>
              <w:spacing w:after="0" w:line="264"/>
            </w:pPr>
            <w:r>
              <w:rPr>
                <w:b w:val="false"/>
                <w:bCs w:val="false"/>
                <w:sz w:val="19"/>
                <w:szCs w:val="19"/>
              </w:rPr>
              <w:t xml:space="preserve">If the latter, the mainframe belongs on the event path as a consumer and the replication leg disappears.</w:t>
            </w:r>
          </w:p>
        </w:tc>
      </w:tr>
      <w:tr>
        <w:tc>
          <w:tcPr>
            <w:tcW w:type="dxa" w:w="500"/>
            <w:shd w:fill="FFFFFF" w:val="clear"/>
            <w:tcMar>
              <w:top w:type="dxa" w:w="90"/>
              <w:left w:type="dxa" w:w="110"/>
              <w:bottom w:type="dxa" w:w="90"/>
              <w:right w:type="dxa" w:w="110"/>
            </w:tcMar>
          </w:tcPr>
          <w:p>
            <w:pPr>
              <w:spacing w:after="0" w:line="264"/>
            </w:pPr>
            <w:r>
              <w:rPr>
                <w:b/>
                <w:bCs/>
                <w:sz w:val="19"/>
                <w:szCs w:val="19"/>
              </w:rPr>
              <w:t xml:space="preserve">3</w:t>
            </w:r>
          </w:p>
        </w:tc>
        <w:tc>
          <w:tcPr>
            <w:tcW w:type="dxa" w:w="4100"/>
            <w:shd w:fill="FFFFFF" w:val="clear"/>
            <w:tcMar>
              <w:top w:type="dxa" w:w="90"/>
              <w:left w:type="dxa" w:w="110"/>
              <w:bottom w:type="dxa" w:w="90"/>
              <w:right w:type="dxa" w:w="110"/>
            </w:tcMar>
          </w:tcPr>
          <w:p>
            <w:pPr>
              <w:spacing w:after="0" w:line="264"/>
            </w:pPr>
            <w:r>
              <w:rPr>
                <w:b w:val="false"/>
                <w:bCs w:val="false"/>
                <w:sz w:val="19"/>
                <w:szCs w:val="19"/>
              </w:rPr>
              <w:t xml:space="preserve">What reporting freshness does the ODS actually require?</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If hourly is acceptable, the batch option in section 5 is materially simpler than any streaming applier.</w:t>
            </w:r>
          </w:p>
        </w:tc>
      </w:tr>
      <w:tr>
        <w:tc>
          <w:tcPr>
            <w:tcW w:type="dxa" w:w="500"/>
            <w:shd w:fill="F2F5F9" w:val="clear"/>
            <w:tcMar>
              <w:top w:type="dxa" w:w="90"/>
              <w:left w:type="dxa" w:w="110"/>
              <w:bottom w:type="dxa" w:w="90"/>
              <w:right w:type="dxa" w:w="110"/>
            </w:tcMar>
          </w:tcPr>
          <w:p>
            <w:pPr>
              <w:spacing w:after="0" w:line="264"/>
            </w:pPr>
            <w:r>
              <w:rPr>
                <w:b/>
                <w:bCs/>
                <w:sz w:val="19"/>
                <w:szCs w:val="19"/>
              </w:rPr>
              <w:t xml:space="preserve">4</w:t>
            </w:r>
          </w:p>
        </w:tc>
        <w:tc>
          <w:tcPr>
            <w:tcW w:type="dxa" w:w="4100"/>
            <w:shd w:fill="F2F5F9" w:val="clear"/>
            <w:tcMar>
              <w:top w:type="dxa" w:w="90"/>
              <w:left w:type="dxa" w:w="110"/>
              <w:bottom w:type="dxa" w:w="90"/>
              <w:right w:type="dxa" w:w="110"/>
            </w:tcMar>
          </w:tcPr>
          <w:p>
            <w:pPr>
              <w:spacing w:after="0" w:line="264"/>
            </w:pPr>
            <w:r>
              <w:rPr>
                <w:b w:val="false"/>
                <w:bCs w:val="false"/>
                <w:sz w:val="19"/>
                <w:szCs w:val="19"/>
              </w:rPr>
              <w:t xml:space="preserve">Do downstream consumers require strict ordering, or is last-write-wins acceptable?</w:t>
            </w:r>
          </w:p>
        </w:tc>
        <w:tc>
          <w:tcPr>
            <w:tcW w:type="dxa" w:w="4760"/>
            <w:shd w:fill="F2F5F9" w:val="clear"/>
            <w:tcMar>
              <w:top w:type="dxa" w:w="90"/>
              <w:left w:type="dxa" w:w="110"/>
              <w:bottom w:type="dxa" w:w="90"/>
              <w:right w:type="dxa" w:w="110"/>
            </w:tcMar>
          </w:tcPr>
          <w:p>
            <w:pPr>
              <w:spacing w:after="0" w:line="264"/>
            </w:pPr>
            <w:r>
              <w:rPr>
                <w:b w:val="false"/>
                <w:bCs w:val="false"/>
                <w:sz w:val="19"/>
                <w:szCs w:val="19"/>
              </w:rPr>
              <w:t xml:space="preserve">Decides between standard SNS and SQS with sequence numbers, and the FIFO variants with their throughput limits.</w:t>
            </w:r>
          </w:p>
        </w:tc>
      </w:tr>
      <w:tr>
        <w:tc>
          <w:tcPr>
            <w:tcW w:type="dxa" w:w="500"/>
            <w:shd w:fill="FFFFFF" w:val="clear"/>
            <w:tcMar>
              <w:top w:type="dxa" w:w="90"/>
              <w:left w:type="dxa" w:w="110"/>
              <w:bottom w:type="dxa" w:w="90"/>
              <w:right w:type="dxa" w:w="110"/>
            </w:tcMar>
          </w:tcPr>
          <w:p>
            <w:pPr>
              <w:spacing w:after="0" w:line="264"/>
            </w:pPr>
            <w:r>
              <w:rPr>
                <w:b/>
                <w:bCs/>
                <w:sz w:val="19"/>
                <w:szCs w:val="19"/>
              </w:rPr>
              <w:t xml:space="preserve">5</w:t>
            </w:r>
          </w:p>
        </w:tc>
        <w:tc>
          <w:tcPr>
            <w:tcW w:type="dxa" w:w="4100"/>
            <w:shd w:fill="FFFFFF" w:val="clear"/>
            <w:tcMar>
              <w:top w:type="dxa" w:w="90"/>
              <w:left w:type="dxa" w:w="110"/>
              <w:bottom w:type="dxa" w:w="90"/>
              <w:right w:type="dxa" w:w="110"/>
            </w:tcMar>
          </w:tcPr>
          <w:p>
            <w:pPr>
              <w:spacing w:after="0" w:line="264"/>
            </w:pPr>
            <w:r>
              <w:rPr>
                <w:b w:val="false"/>
                <w:bCs w:val="false"/>
                <w:sz w:val="19"/>
                <w:szCs w:val="19"/>
              </w:rPr>
              <w:t xml:space="preserve">Can the application teams adopt the outbox pattern, and on what timeline?</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Determines whether the event contract can be owned by the platform or is inherited from the Aurora schema.</w:t>
            </w:r>
          </w:p>
        </w:tc>
      </w:tr>
      <w:tr>
        <w:tc>
          <w:tcPr>
            <w:tcW w:type="dxa" w:w="500"/>
            <w:shd w:fill="F2F5F9" w:val="clear"/>
            <w:tcMar>
              <w:top w:type="dxa" w:w="90"/>
              <w:left w:type="dxa" w:w="110"/>
              <w:bottom w:type="dxa" w:w="90"/>
              <w:right w:type="dxa" w:w="110"/>
            </w:tcMar>
          </w:tcPr>
          <w:p>
            <w:pPr>
              <w:spacing w:after="0" w:line="264"/>
            </w:pPr>
            <w:r>
              <w:rPr>
                <w:b/>
                <w:bCs/>
                <w:sz w:val="19"/>
                <w:szCs w:val="19"/>
              </w:rPr>
              <w:t xml:space="preserve">6</w:t>
            </w:r>
          </w:p>
        </w:tc>
        <w:tc>
          <w:tcPr>
            <w:tcW w:type="dxa" w:w="4100"/>
            <w:shd w:fill="F2F5F9" w:val="clear"/>
            <w:tcMar>
              <w:top w:type="dxa" w:w="90"/>
              <w:left w:type="dxa" w:w="110"/>
              <w:bottom w:type="dxa" w:w="90"/>
              <w:right w:type="dxa" w:w="110"/>
            </w:tcMar>
          </w:tcPr>
          <w:p>
            <w:pPr>
              <w:spacing w:after="0" w:line="264"/>
            </w:pPr>
            <w:r>
              <w:rPr>
                <w:b w:val="false"/>
                <w:bCs w:val="false"/>
                <w:sz w:val="19"/>
                <w:szCs w:val="19"/>
              </w:rPr>
              <w:t xml:space="preserve">What are the expected peak event rate and payload size?</w:t>
            </w:r>
          </w:p>
        </w:tc>
        <w:tc>
          <w:tcPr>
            <w:tcW w:type="dxa" w:w="4760"/>
            <w:shd w:fill="F2F5F9" w:val="clear"/>
            <w:tcMar>
              <w:top w:type="dxa" w:w="90"/>
              <w:left w:type="dxa" w:w="110"/>
              <w:bottom w:type="dxa" w:w="90"/>
              <w:right w:type="dxa" w:w="110"/>
            </w:tcMar>
          </w:tcPr>
          <w:p>
            <w:pPr>
              <w:spacing w:after="0" w:line="264"/>
            </w:pPr>
            <w:r>
              <w:rPr>
                <w:b w:val="false"/>
                <w:bCs w:val="false"/>
                <w:sz w:val="19"/>
                <w:szCs w:val="19"/>
              </w:rPr>
              <w:t xml:space="preserve">Drives shard sizing, the FIFO decision, whether the claim-check pattern is needed, and cost.</w:t>
            </w:r>
          </w:p>
        </w:tc>
      </w:tr>
      <w:tr>
        <w:tc>
          <w:tcPr>
            <w:tcW w:type="dxa" w:w="500"/>
            <w:shd w:fill="FFFFFF" w:val="clear"/>
            <w:tcMar>
              <w:top w:type="dxa" w:w="90"/>
              <w:left w:type="dxa" w:w="110"/>
              <w:bottom w:type="dxa" w:w="90"/>
              <w:right w:type="dxa" w:w="110"/>
            </w:tcMar>
          </w:tcPr>
          <w:p>
            <w:pPr>
              <w:spacing w:after="0" w:line="264"/>
            </w:pPr>
            <w:r>
              <w:rPr>
                <w:b/>
                <w:bCs/>
                <w:sz w:val="19"/>
                <w:szCs w:val="19"/>
              </w:rPr>
              <w:t xml:space="preserve">7</w:t>
            </w:r>
          </w:p>
        </w:tc>
        <w:tc>
          <w:tcPr>
            <w:tcW w:type="dxa" w:w="4100"/>
            <w:shd w:fill="FFFFFF" w:val="clear"/>
            <w:tcMar>
              <w:top w:type="dxa" w:w="90"/>
              <w:left w:type="dxa" w:w="110"/>
              <w:bottom w:type="dxa" w:w="90"/>
              <w:right w:type="dxa" w:w="110"/>
            </w:tcMar>
          </w:tcPr>
          <w:p>
            <w:pPr>
              <w:spacing w:after="0" w:line="264"/>
            </w:pPr>
            <w:r>
              <w:rPr>
                <w:b w:val="false"/>
                <w:bCs w:val="false"/>
                <w:sz w:val="19"/>
                <w:szCs w:val="19"/>
              </w:rPr>
              <w:t xml:space="preserve">Which downstream systems exist today, and which are anticipated?</w:t>
            </w:r>
          </w:p>
        </w:tc>
        <w:tc>
          <w:tcPr>
            <w:tcW w:type="dxa" w:w="4760"/>
            <w:shd w:fill="FFFFFF" w:val="clear"/>
            <w:tcMar>
              <w:top w:type="dxa" w:w="90"/>
              <w:left w:type="dxa" w:w="110"/>
              <w:bottom w:type="dxa" w:w="90"/>
              <w:right w:type="dxa" w:w="110"/>
            </w:tcMar>
          </w:tcPr>
          <w:p>
            <w:pPr>
              <w:spacing w:after="0" w:line="264"/>
            </w:pPr>
            <w:r>
              <w:rPr>
                <w:b w:val="false"/>
                <w:bCs w:val="false"/>
                <w:sz w:val="19"/>
                <w:szCs w:val="19"/>
              </w:rPr>
              <w:t xml:space="preserve">Validates the fan-out assumption and informs the filter policy design.</w:t>
            </w:r>
          </w:p>
        </w:tc>
      </w:tr>
      <w:tr>
        <w:tc>
          <w:tcPr>
            <w:tcW w:type="dxa" w:w="500"/>
            <w:shd w:fill="F2F5F9" w:val="clear"/>
            <w:tcMar>
              <w:top w:type="dxa" w:w="90"/>
              <w:left w:type="dxa" w:w="110"/>
              <w:bottom w:type="dxa" w:w="90"/>
              <w:right w:type="dxa" w:w="110"/>
            </w:tcMar>
          </w:tcPr>
          <w:p>
            <w:pPr>
              <w:spacing w:after="0" w:line="264"/>
            </w:pPr>
            <w:r>
              <w:rPr>
                <w:b/>
                <w:bCs/>
                <w:sz w:val="19"/>
                <w:szCs w:val="19"/>
              </w:rPr>
              <w:t xml:space="preserve">8</w:t>
            </w:r>
          </w:p>
        </w:tc>
        <w:tc>
          <w:tcPr>
            <w:tcW w:type="dxa" w:w="4100"/>
            <w:shd w:fill="F2F5F9" w:val="clear"/>
            <w:tcMar>
              <w:top w:type="dxa" w:w="90"/>
              <w:left w:type="dxa" w:w="110"/>
              <w:bottom w:type="dxa" w:w="90"/>
              <w:right w:type="dxa" w:w="110"/>
            </w:tcMar>
          </w:tcPr>
          <w:p>
            <w:pPr>
              <w:spacing w:after="0" w:line="264"/>
            </w:pPr>
            <w:r>
              <w:rPr>
                <w:b w:val="false"/>
                <w:bCs w:val="false"/>
                <w:sz w:val="19"/>
                <w:szCs w:val="19"/>
              </w:rPr>
              <w:t xml:space="preserve">Who owns the event contract and its versioning policy?</w:t>
            </w:r>
          </w:p>
        </w:tc>
        <w:tc>
          <w:tcPr>
            <w:tcW w:type="dxa" w:w="4760"/>
            <w:shd w:fill="F2F5F9" w:val="clear"/>
            <w:tcMar>
              <w:top w:type="dxa" w:w="90"/>
              <w:left w:type="dxa" w:w="110"/>
              <w:bottom w:type="dxa" w:w="90"/>
              <w:right w:type="dxa" w:w="110"/>
            </w:tcMar>
          </w:tcPr>
          <w:p>
            <w:pPr>
              <w:spacing w:after="0" w:line="264"/>
            </w:pPr>
            <w:r>
              <w:rPr>
                <w:b w:val="false"/>
                <w:bCs w:val="false"/>
                <w:sz w:val="19"/>
                <w:szCs w:val="19"/>
              </w:rPr>
              <w:t xml:space="preserve">Without a named owner, schema evolution becomes an unmanaged cross-team negotiation.</w:t>
            </w:r>
          </w:p>
        </w:tc>
      </w:tr>
    </w:tbl>
    <w:p>
      <w:pPr>
        <w:spacing w:after="200"/>
      </w:pPr>
      <w:r>
        <w:rPr>
          <w:sz w:val="2"/>
          <w:szCs w:val="2"/>
        </w:rPr>
        <w:t xml:space="preserve"/>
      </w:r>
    </w:p>
    <w:p>
      <w:pPr>
        <w:pStyle w:val="Heading1"/>
        <w:spacing w:after="160" w:before="360"/>
      </w:pPr>
      <w:r>
        <w:rPr>
          <w:b/>
          <w:bCs/>
          <w:color w:val="1F3864"/>
          <w:sz w:val="30"/>
          <w:szCs w:val="30"/>
        </w:rPr>
        <w:t xml:space="preserve">10. Recommended sequence</w:t>
      </w:r>
    </w:p>
    <w:p>
      <w:pPr>
        <w:spacing w:after="140" w:line="276"/>
      </w:pPr>
      <w:r>
        <w:rPr>
          <w:b w:val="false"/>
          <w:bCs w:val="false"/>
          <w:i w:val="false"/>
          <w:iCs w:val="false"/>
          <w:sz w:val="21"/>
          <w:szCs w:val="21"/>
        </w:rPr>
        <w:t xml:space="preserve">If the whole revision cannot be taken at once, this is the order that delivers the most benefit per unit of effort.</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360"/>
      </w:tblGrid>
      <w:tr>
        <w:trPr>
          <w:tblHeader/>
        </w:trPr>
        <w:tc>
          <w:tcPr>
            <w:tcW w:type="dxa" w:w="900"/>
            <w:shd w:fill="1F3864" w:val="clear"/>
            <w:tcMar>
              <w:top w:type="dxa" w:w="90"/>
              <w:left w:type="dxa" w:w="110"/>
              <w:bottom w:type="dxa" w:w="90"/>
              <w:right w:type="dxa" w:w="110"/>
            </w:tcMar>
          </w:tcPr>
          <w:p>
            <w:r>
              <w:rPr>
                <w:b/>
                <w:bCs/>
                <w:color w:val="FFFFFF"/>
                <w:sz w:val="19"/>
                <w:szCs w:val="19"/>
              </w:rPr>
              <w:t xml:space="preserve">Priority</w:t>
            </w:r>
          </w:p>
        </w:tc>
        <w:tc>
          <w:tcPr>
            <w:tcW w:type="dxa" w:w="6100"/>
            <w:shd w:fill="1F3864" w:val="clear"/>
            <w:tcMar>
              <w:top w:type="dxa" w:w="90"/>
              <w:left w:type="dxa" w:w="110"/>
              <w:bottom w:type="dxa" w:w="90"/>
              <w:right w:type="dxa" w:w="110"/>
            </w:tcMar>
          </w:tcPr>
          <w:p>
            <w:r>
              <w:rPr>
                <w:b/>
                <w:bCs/>
                <w:color w:val="FFFFFF"/>
                <w:sz w:val="19"/>
                <w:szCs w:val="19"/>
              </w:rPr>
              <w:t xml:space="preserve">Change</w:t>
            </w:r>
          </w:p>
        </w:tc>
        <w:tc>
          <w:tcPr>
            <w:tcW w:type="dxa" w:w="2360"/>
            <w:shd w:fill="1F3864" w:val="clear"/>
            <w:tcMar>
              <w:top w:type="dxa" w:w="90"/>
              <w:left w:type="dxa" w:w="110"/>
              <w:bottom w:type="dxa" w:w="90"/>
              <w:right w:type="dxa" w:w="110"/>
            </w:tcMar>
          </w:tcPr>
          <w:p>
            <w:r>
              <w:rPr>
                <w:b/>
                <w:bCs/>
                <w:color w:val="FFFFFF"/>
                <w:sz w:val="19"/>
                <w:szCs w:val="19"/>
              </w:rPr>
              <w:t xml:space="preserve">Effort</w:t>
            </w:r>
          </w:p>
        </w:tc>
      </w:tr>
      <w:tr>
        <w:tc>
          <w:tcPr>
            <w:tcW w:type="dxa" w:w="900"/>
            <w:shd w:fill="FFFFFF" w:val="clear"/>
            <w:tcMar>
              <w:top w:type="dxa" w:w="90"/>
              <w:left w:type="dxa" w:w="110"/>
              <w:bottom w:type="dxa" w:w="90"/>
              <w:right w:type="dxa" w:w="110"/>
            </w:tcMar>
          </w:tcPr>
          <w:p>
            <w:pPr>
              <w:spacing w:after="0" w:line="264"/>
            </w:pPr>
            <w:r>
              <w:rPr>
                <w:b/>
                <w:bCs/>
                <w:sz w:val="19"/>
                <w:szCs w:val="19"/>
              </w:rPr>
              <w:t xml:space="preserve">1</w:t>
            </w:r>
          </w:p>
        </w:tc>
        <w:tc>
          <w:tcPr>
            <w:tcW w:type="dxa" w:w="6100"/>
            <w:shd w:fill="FFFFFF" w:val="clear"/>
            <w:tcMar>
              <w:top w:type="dxa" w:w="90"/>
              <w:left w:type="dxa" w:w="110"/>
              <w:bottom w:type="dxa" w:w="90"/>
              <w:right w:type="dxa" w:w="110"/>
            </w:tcMar>
          </w:tcPr>
          <w:p>
            <w:pPr>
              <w:spacing w:after="0" w:line="264"/>
            </w:pPr>
            <w:r>
              <w:rPr>
                <w:b w:val="false"/>
                <w:bCs w:val="false"/>
                <w:sz w:val="19"/>
                <w:szCs w:val="19"/>
              </w:rPr>
              <w:t xml:space="preserve">Resolve the ODS target and select a delivery mechanism from section 5</w:t>
            </w:r>
          </w:p>
        </w:tc>
        <w:tc>
          <w:tcPr>
            <w:tcW w:type="dxa" w:w="2360"/>
            <w:shd w:fill="FFFFFF" w:val="clear"/>
            <w:tcMar>
              <w:top w:type="dxa" w:w="90"/>
              <w:left w:type="dxa" w:w="110"/>
              <w:bottom w:type="dxa" w:w="90"/>
              <w:right w:type="dxa" w:w="110"/>
            </w:tcMar>
          </w:tcPr>
          <w:p>
            <w:pPr>
              <w:spacing w:after="0" w:line="264"/>
            </w:pPr>
            <w:r>
              <w:rPr>
                <w:b w:val="false"/>
                <w:bCs w:val="false"/>
                <w:sz w:val="19"/>
                <w:szCs w:val="19"/>
              </w:rPr>
              <w:t xml:space="preserve">Decision, then variable</w:t>
            </w:r>
          </w:p>
        </w:tc>
      </w:tr>
      <w:tr>
        <w:tc>
          <w:tcPr>
            <w:tcW w:type="dxa" w:w="900"/>
            <w:shd w:fill="F2F5F9" w:val="clear"/>
            <w:tcMar>
              <w:top w:type="dxa" w:w="90"/>
              <w:left w:type="dxa" w:w="110"/>
              <w:bottom w:type="dxa" w:w="90"/>
              <w:right w:type="dxa" w:w="110"/>
            </w:tcMar>
          </w:tcPr>
          <w:p>
            <w:pPr>
              <w:spacing w:after="0" w:line="264"/>
            </w:pPr>
            <w:r>
              <w:rPr>
                <w:b/>
                <w:bCs/>
                <w:sz w:val="19"/>
                <w:szCs w:val="19"/>
              </w:rPr>
              <w:t xml:space="preserve">2</w:t>
            </w:r>
          </w:p>
        </w:tc>
        <w:tc>
          <w:tcPr>
            <w:tcW w:type="dxa" w:w="6100"/>
            <w:shd w:fill="F2F5F9" w:val="clear"/>
            <w:tcMar>
              <w:top w:type="dxa" w:w="90"/>
              <w:left w:type="dxa" w:w="110"/>
              <w:bottom w:type="dxa" w:w="90"/>
              <w:right w:type="dxa" w:w="110"/>
            </w:tcMar>
          </w:tcPr>
          <w:p>
            <w:pPr>
              <w:spacing w:after="0" w:line="264"/>
            </w:pPr>
            <w:r>
              <w:rPr>
                <w:b w:val="false"/>
                <w:bCs w:val="false"/>
                <w:sz w:val="19"/>
                <w:szCs w:val="19"/>
              </w:rPr>
              <w:t xml:space="preserve">Adopt the transactional outbox and publish a versioned event contract</w:t>
            </w:r>
          </w:p>
        </w:tc>
        <w:tc>
          <w:tcPr>
            <w:tcW w:type="dxa" w:w="2360"/>
            <w:shd w:fill="F2F5F9" w:val="clear"/>
            <w:tcMar>
              <w:top w:type="dxa" w:w="90"/>
              <w:left w:type="dxa" w:w="110"/>
              <w:bottom w:type="dxa" w:w="90"/>
              <w:right w:type="dxa" w:w="110"/>
            </w:tcMar>
          </w:tcPr>
          <w:p>
            <w:pPr>
              <w:spacing w:after="0" w:line="264"/>
            </w:pPr>
            <w:r>
              <w:rPr>
                <w:b w:val="false"/>
                <w:bCs w:val="false"/>
                <w:sz w:val="19"/>
                <w:szCs w:val="19"/>
              </w:rPr>
              <w:t xml:space="preserve">High, requires application change</w:t>
            </w:r>
          </w:p>
        </w:tc>
      </w:tr>
      <w:tr>
        <w:tc>
          <w:tcPr>
            <w:tcW w:type="dxa" w:w="900"/>
            <w:shd w:fill="FFFFFF" w:val="clear"/>
            <w:tcMar>
              <w:top w:type="dxa" w:w="90"/>
              <w:left w:type="dxa" w:w="110"/>
              <w:bottom w:type="dxa" w:w="90"/>
              <w:right w:type="dxa" w:w="110"/>
            </w:tcMar>
          </w:tcPr>
          <w:p>
            <w:pPr>
              <w:spacing w:after="0" w:line="264"/>
            </w:pPr>
            <w:r>
              <w:rPr>
                <w:b/>
                <w:bCs/>
                <w:sz w:val="19"/>
                <w:szCs w:val="19"/>
              </w:rPr>
              <w:t xml:space="preserve">3</w:t>
            </w:r>
          </w:p>
        </w:tc>
        <w:tc>
          <w:tcPr>
            <w:tcW w:type="dxa" w:w="6100"/>
            <w:shd w:fill="FFFFFF" w:val="clear"/>
            <w:tcMar>
              <w:top w:type="dxa" w:w="90"/>
              <w:left w:type="dxa" w:w="110"/>
              <w:bottom w:type="dxa" w:w="90"/>
              <w:right w:type="dxa" w:w="110"/>
            </w:tcMar>
          </w:tcPr>
          <w:p>
            <w:pPr>
              <w:spacing w:after="0" w:line="264"/>
            </w:pPr>
            <w:r>
              <w:rPr>
                <w:b w:val="false"/>
                <w:bCs w:val="false"/>
                <w:sz w:val="19"/>
                <w:szCs w:val="19"/>
              </w:rPr>
              <w:t xml:space="preserve">Split the event and ODS pipelines into separate CDC tasks</w:t>
            </w:r>
          </w:p>
        </w:tc>
        <w:tc>
          <w:tcPr>
            <w:tcW w:type="dxa" w:w="2360"/>
            <w:shd w:fill="FFFFFF" w:val="clear"/>
            <w:tcMar>
              <w:top w:type="dxa" w:w="90"/>
              <w:left w:type="dxa" w:w="110"/>
              <w:bottom w:type="dxa" w:w="90"/>
              <w:right w:type="dxa" w:w="110"/>
            </w:tcMar>
          </w:tcPr>
          <w:p>
            <w:pPr>
              <w:spacing w:after="0" w:line="264"/>
            </w:pPr>
            <w:r>
              <w:rPr>
                <w:b w:val="false"/>
                <w:bCs w:val="false"/>
                <w:sz w:val="19"/>
                <w:szCs w:val="19"/>
              </w:rPr>
              <w:t xml:space="preserve">Low</w:t>
            </w:r>
          </w:p>
        </w:tc>
      </w:tr>
      <w:tr>
        <w:tc>
          <w:tcPr>
            <w:tcW w:type="dxa" w:w="900"/>
            <w:shd w:fill="F2F5F9" w:val="clear"/>
            <w:tcMar>
              <w:top w:type="dxa" w:w="90"/>
              <w:left w:type="dxa" w:w="110"/>
              <w:bottom w:type="dxa" w:w="90"/>
              <w:right w:type="dxa" w:w="110"/>
            </w:tcMar>
          </w:tcPr>
          <w:p>
            <w:pPr>
              <w:spacing w:after="0" w:line="264"/>
            </w:pPr>
            <w:r>
              <w:rPr>
                <w:b/>
                <w:bCs/>
                <w:sz w:val="19"/>
                <w:szCs w:val="19"/>
              </w:rPr>
              <w:t xml:space="preserve">4</w:t>
            </w:r>
          </w:p>
        </w:tc>
        <w:tc>
          <w:tcPr>
            <w:tcW w:type="dxa" w:w="6100"/>
            <w:shd w:fill="F2F5F9" w:val="clear"/>
            <w:tcMar>
              <w:top w:type="dxa" w:w="90"/>
              <w:left w:type="dxa" w:w="110"/>
              <w:bottom w:type="dxa" w:w="90"/>
              <w:right w:type="dxa" w:w="110"/>
            </w:tcMar>
          </w:tcPr>
          <w:p>
            <w:pPr>
              <w:spacing w:after="0" w:line="264"/>
            </w:pPr>
            <w:r>
              <w:rPr>
                <w:b w:val="false"/>
                <w:bCs w:val="false"/>
                <w:sz w:val="19"/>
                <w:szCs w:val="19"/>
              </w:rPr>
              <w:t xml:space="preserve">Configure event source mapping error handling and on-failure destinations</w:t>
            </w:r>
          </w:p>
        </w:tc>
        <w:tc>
          <w:tcPr>
            <w:tcW w:type="dxa" w:w="2360"/>
            <w:shd w:fill="F2F5F9" w:val="clear"/>
            <w:tcMar>
              <w:top w:type="dxa" w:w="90"/>
              <w:left w:type="dxa" w:w="110"/>
              <w:bottom w:type="dxa" w:w="90"/>
              <w:right w:type="dxa" w:w="110"/>
            </w:tcMar>
          </w:tcPr>
          <w:p>
            <w:pPr>
              <w:spacing w:after="0" w:line="264"/>
            </w:pPr>
            <w:r>
              <w:rPr>
                <w:b w:val="false"/>
                <w:bCs w:val="false"/>
                <w:sz w:val="19"/>
                <w:szCs w:val="19"/>
              </w:rPr>
              <w:t xml:space="preserve">Low</w:t>
            </w:r>
          </w:p>
        </w:tc>
      </w:tr>
      <w:tr>
        <w:tc>
          <w:tcPr>
            <w:tcW w:type="dxa" w:w="900"/>
            <w:shd w:fill="FFFFFF" w:val="clear"/>
            <w:tcMar>
              <w:top w:type="dxa" w:w="90"/>
              <w:left w:type="dxa" w:w="110"/>
              <w:bottom w:type="dxa" w:w="90"/>
              <w:right w:type="dxa" w:w="110"/>
            </w:tcMar>
          </w:tcPr>
          <w:p>
            <w:pPr>
              <w:spacing w:after="0" w:line="264"/>
            </w:pPr>
            <w:r>
              <w:rPr>
                <w:b/>
                <w:bCs/>
                <w:sz w:val="19"/>
                <w:szCs w:val="19"/>
              </w:rPr>
              <w:t xml:space="preserve">5</w:t>
            </w:r>
          </w:p>
        </w:tc>
        <w:tc>
          <w:tcPr>
            <w:tcW w:type="dxa" w:w="6100"/>
            <w:shd w:fill="FFFFFF" w:val="clear"/>
            <w:tcMar>
              <w:top w:type="dxa" w:w="90"/>
              <w:left w:type="dxa" w:w="110"/>
              <w:bottom w:type="dxa" w:w="90"/>
              <w:right w:type="dxa" w:w="110"/>
            </w:tcMar>
          </w:tcPr>
          <w:p>
            <w:pPr>
              <w:spacing w:after="0" w:line="264"/>
            </w:pPr>
            <w:r>
              <w:rPr>
                <w:b w:val="false"/>
                <w:bCs w:val="false"/>
                <w:sz w:val="19"/>
                <w:szCs w:val="19"/>
              </w:rPr>
              <w:t xml:space="preserve">Define idempotency and ordering rules, and require them of every consumer</w:t>
            </w:r>
          </w:p>
        </w:tc>
        <w:tc>
          <w:tcPr>
            <w:tcW w:type="dxa" w:w="2360"/>
            <w:shd w:fill="FFFFFF" w:val="clear"/>
            <w:tcMar>
              <w:top w:type="dxa" w:w="90"/>
              <w:left w:type="dxa" w:w="110"/>
              <w:bottom w:type="dxa" w:w="90"/>
              <w:right w:type="dxa" w:w="110"/>
            </w:tcMar>
          </w:tcPr>
          <w:p>
            <w:pPr>
              <w:spacing w:after="0" w:line="264"/>
            </w:pPr>
            <w:r>
              <w:rPr>
                <w:b w:val="false"/>
                <w:bCs w:val="false"/>
                <w:sz w:val="19"/>
                <w:szCs w:val="19"/>
              </w:rPr>
              <w:t xml:space="preserve">Low, mostly documentation</w:t>
            </w:r>
          </w:p>
        </w:tc>
      </w:tr>
      <w:tr>
        <w:tc>
          <w:tcPr>
            <w:tcW w:type="dxa" w:w="900"/>
            <w:shd w:fill="F2F5F9" w:val="clear"/>
            <w:tcMar>
              <w:top w:type="dxa" w:w="90"/>
              <w:left w:type="dxa" w:w="110"/>
              <w:bottom w:type="dxa" w:w="90"/>
              <w:right w:type="dxa" w:w="110"/>
            </w:tcMar>
          </w:tcPr>
          <w:p>
            <w:pPr>
              <w:spacing w:after="0" w:line="264"/>
            </w:pPr>
            <w:r>
              <w:rPr>
                <w:b/>
                <w:bCs/>
                <w:sz w:val="19"/>
                <w:szCs w:val="19"/>
              </w:rPr>
              <w:t xml:space="preserve">6</w:t>
            </w:r>
          </w:p>
        </w:tc>
        <w:tc>
          <w:tcPr>
            <w:tcW w:type="dxa" w:w="6100"/>
            <w:shd w:fill="F2F5F9" w:val="clear"/>
            <w:tcMar>
              <w:top w:type="dxa" w:w="90"/>
              <w:left w:type="dxa" w:w="110"/>
              <w:bottom w:type="dxa" w:w="90"/>
              <w:right w:type="dxa" w:w="110"/>
            </w:tcMar>
          </w:tcPr>
          <w:p>
            <w:pPr>
              <w:spacing w:after="0" w:line="264"/>
            </w:pPr>
            <w:r>
              <w:rPr>
                <w:b w:val="false"/>
                <w:bCs w:val="false"/>
                <w:sz w:val="19"/>
                <w:szCs w:val="19"/>
              </w:rPr>
              <w:t xml:space="preserve">Add the monitoring and alarms in section 8.1</w:t>
            </w:r>
          </w:p>
        </w:tc>
        <w:tc>
          <w:tcPr>
            <w:tcW w:type="dxa" w:w="2360"/>
            <w:shd w:fill="F2F5F9" w:val="clear"/>
            <w:tcMar>
              <w:top w:type="dxa" w:w="90"/>
              <w:left w:type="dxa" w:w="110"/>
              <w:bottom w:type="dxa" w:w="90"/>
              <w:right w:type="dxa" w:w="110"/>
            </w:tcMar>
          </w:tcPr>
          <w:p>
            <w:pPr>
              <w:spacing w:after="0" w:line="264"/>
            </w:pPr>
            <w:r>
              <w:rPr>
                <w:b w:val="false"/>
                <w:bCs w:val="false"/>
                <w:sz w:val="19"/>
                <w:szCs w:val="19"/>
              </w:rPr>
              <w:t xml:space="preserve">Low</w:t>
            </w:r>
          </w:p>
        </w:tc>
      </w:tr>
      <w:tr>
        <w:tc>
          <w:tcPr>
            <w:tcW w:type="dxa" w:w="900"/>
            <w:shd w:fill="FFFFFF" w:val="clear"/>
            <w:tcMar>
              <w:top w:type="dxa" w:w="90"/>
              <w:left w:type="dxa" w:w="110"/>
              <w:bottom w:type="dxa" w:w="90"/>
              <w:right w:type="dxa" w:w="110"/>
            </w:tcMar>
          </w:tcPr>
          <w:p>
            <w:pPr>
              <w:spacing w:after="0" w:line="264"/>
            </w:pPr>
            <w:r>
              <w:rPr>
                <w:b/>
                <w:bCs/>
                <w:sz w:val="19"/>
                <w:szCs w:val="19"/>
              </w:rPr>
              <w:t xml:space="preserve">7</w:t>
            </w:r>
          </w:p>
        </w:tc>
        <w:tc>
          <w:tcPr>
            <w:tcW w:type="dxa" w:w="6100"/>
            <w:shd w:fill="FFFFFF" w:val="clear"/>
            <w:tcMar>
              <w:top w:type="dxa" w:w="90"/>
              <w:left w:type="dxa" w:w="110"/>
              <w:bottom w:type="dxa" w:w="90"/>
              <w:right w:type="dxa" w:w="110"/>
            </w:tcMar>
          </w:tcPr>
          <w:p>
            <w:pPr>
              <w:spacing w:after="0" w:line="264"/>
            </w:pPr>
            <w:r>
              <w:rPr>
                <w:b w:val="false"/>
                <w:bCs w:val="false"/>
                <w:sz w:val="19"/>
                <w:szCs w:val="19"/>
              </w:rPr>
              <w:t xml:space="preserve">Add the S3 event archive and write the replay runbook</w:t>
            </w:r>
          </w:p>
        </w:tc>
        <w:tc>
          <w:tcPr>
            <w:tcW w:type="dxa" w:w="2360"/>
            <w:shd w:fill="FFFFFF" w:val="clear"/>
            <w:tcMar>
              <w:top w:type="dxa" w:w="90"/>
              <w:left w:type="dxa" w:w="110"/>
              <w:bottom w:type="dxa" w:w="90"/>
              <w:right w:type="dxa" w:w="110"/>
            </w:tcMar>
          </w:tcPr>
          <w:p>
            <w:pPr>
              <w:spacing w:after="0" w:line="264"/>
            </w:pPr>
            <w:r>
              <w:rPr>
                <w:b w:val="false"/>
                <w:bCs w:val="false"/>
                <w:sz w:val="19"/>
                <w:szCs w:val="19"/>
              </w:rPr>
              <w:t xml:space="preserve">Medium</w:t>
            </w:r>
          </w:p>
        </w:tc>
      </w:tr>
      <w:tr>
        <w:tc>
          <w:tcPr>
            <w:tcW w:type="dxa" w:w="900"/>
            <w:shd w:fill="F2F5F9" w:val="clear"/>
            <w:tcMar>
              <w:top w:type="dxa" w:w="90"/>
              <w:left w:type="dxa" w:w="110"/>
              <w:bottom w:type="dxa" w:w="90"/>
              <w:right w:type="dxa" w:w="110"/>
            </w:tcMar>
          </w:tcPr>
          <w:p>
            <w:pPr>
              <w:spacing w:after="0" w:line="264"/>
            </w:pPr>
            <w:r>
              <w:rPr>
                <w:b/>
                <w:bCs/>
                <w:sz w:val="19"/>
                <w:szCs w:val="19"/>
              </w:rPr>
              <w:t xml:space="preserve">8</w:t>
            </w:r>
          </w:p>
        </w:tc>
        <w:tc>
          <w:tcPr>
            <w:tcW w:type="dxa" w:w="6100"/>
            <w:shd w:fill="F2F5F9" w:val="clear"/>
            <w:tcMar>
              <w:top w:type="dxa" w:w="90"/>
              <w:left w:type="dxa" w:w="110"/>
              <w:bottom w:type="dxa" w:w="90"/>
              <w:right w:type="dxa" w:w="110"/>
            </w:tcMar>
          </w:tcPr>
          <w:p>
            <w:pPr>
              <w:spacing w:after="0" w:line="264"/>
            </w:pPr>
            <w:r>
              <w:rPr>
                <w:b w:val="false"/>
                <w:bCs w:val="false"/>
                <w:sz w:val="19"/>
                <w:szCs w:val="19"/>
              </w:rPr>
              <w:t xml:space="preserve">Move DMS to Serverless and complete the security items in section 8.3</w:t>
            </w:r>
          </w:p>
        </w:tc>
        <w:tc>
          <w:tcPr>
            <w:tcW w:type="dxa" w:w="2360"/>
            <w:shd w:fill="F2F5F9" w:val="clear"/>
            <w:tcMar>
              <w:top w:type="dxa" w:w="90"/>
              <w:left w:type="dxa" w:w="110"/>
              <w:bottom w:type="dxa" w:w="90"/>
              <w:right w:type="dxa" w:w="110"/>
            </w:tcMar>
          </w:tcPr>
          <w:p>
            <w:pPr>
              <w:spacing w:after="0" w:line="264"/>
            </w:pPr>
            <w:r>
              <w:rPr>
                <w:b w:val="false"/>
                <w:bCs w:val="false"/>
                <w:sz w:val="19"/>
                <w:szCs w:val="19"/>
              </w:rPr>
              <w:t xml:space="preserve">Medium</w:t>
            </w:r>
          </w:p>
        </w:tc>
      </w:tr>
    </w:tbl>
    <w:p>
      <w:pPr>
        <w:spacing w:after="200"/>
      </w:pPr>
      <w:r>
        <w:rPr>
          <w:sz w:val="2"/>
          <w:szCs w:val="2"/>
        </w:rPr>
        <w:t xml:space="preserve"/>
      </w:r>
    </w:p>
    <w:p>
      <w:pPr>
        <w:spacing w:after="140" w:line="276"/>
      </w:pPr>
      <w:r>
        <w:rPr>
          <w:b w:val="false"/>
          <w:bCs w:val="false"/>
          <w:i w:val="false"/>
          <w:iCs w:val="false"/>
          <w:sz w:val="21"/>
          <w:szCs w:val="21"/>
        </w:rPr>
        <w:t xml:space="preserve">Items 1 and 2 address the structural problems. Everything below item 4 is hardening that can follow, but items 3 to 5 are cheap enough that there is little reason to defer them.</w:t>
      </w:r>
    </w:p>
    <w:p>
      <w:r>
        <w:br w:type="page"/>
      </w:r>
    </w:p>
    <w:p>
      <w:pPr>
        <w:pStyle w:val="Heading1"/>
        <w:spacing w:after="160" w:before="360"/>
      </w:pPr>
      <w:r>
        <w:rPr>
          <w:b/>
          <w:bCs/>
          <w:color w:val="1F3864"/>
          <w:sz w:val="30"/>
          <w:szCs w:val="30"/>
        </w:rPr>
        <w:t xml:space="preserve">Appendix A. Verified service constraints</w:t>
      </w:r>
    </w:p>
    <w:p>
      <w:pPr>
        <w:spacing w:after="140" w:line="276"/>
      </w:pPr>
      <w:r>
        <w:rPr>
          <w:b w:val="false"/>
          <w:bCs w:val="false"/>
          <w:i w:val="false"/>
          <w:iCs w:val="false"/>
          <w:sz w:val="21"/>
          <w:szCs w:val="21"/>
        </w:rPr>
        <w:t xml:space="preserve">The following constraints were confirmed against AWS documentation on 1 September 2026. They are recorded here because several of them contradict assumptions in the original design and are easy to misremember.</w:t>
      </w:r>
    </w:p>
    <w:p>
      <w:pPr>
        <w:spacing w:after="1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shd w:fill="1F3864" w:val="clear"/>
            <w:tcMar>
              <w:top w:type="dxa" w:w="90"/>
              <w:left w:type="dxa" w:w="110"/>
              <w:bottom w:type="dxa" w:w="90"/>
              <w:right w:type="dxa" w:w="110"/>
            </w:tcMar>
          </w:tcPr>
          <w:p>
            <w:r>
              <w:rPr>
                <w:b/>
                <w:bCs/>
                <w:color w:val="FFFFFF"/>
                <w:sz w:val="19"/>
                <w:szCs w:val="19"/>
              </w:rPr>
              <w:t xml:space="preserve">Constraint</w:t>
            </w:r>
          </w:p>
        </w:tc>
        <w:tc>
          <w:tcPr>
            <w:tcW w:type="dxa" w:w="5560"/>
            <w:shd w:fill="1F3864" w:val="clear"/>
            <w:tcMar>
              <w:top w:type="dxa" w:w="90"/>
              <w:left w:type="dxa" w:w="110"/>
              <w:bottom w:type="dxa" w:w="90"/>
              <w:right w:type="dxa" w:w="110"/>
            </w:tcMar>
          </w:tcPr>
          <w:p>
            <w:r>
              <w:rPr>
                <w:b/>
                <w:bCs/>
                <w:color w:val="FFFFFF"/>
                <w:sz w:val="19"/>
                <w:szCs w:val="19"/>
              </w:rPr>
              <w:t xml:space="preserve">Detail</w:t>
            </w:r>
          </w:p>
        </w:tc>
        <w:tc>
          <w:tcPr>
            <w:tcW w:type="dxa" w:w="2000"/>
            <w:shd w:fill="1F3864" w:val="clear"/>
            <w:tcMar>
              <w:top w:type="dxa" w:w="90"/>
              <w:left w:type="dxa" w:w="110"/>
              <w:bottom w:type="dxa" w:w="90"/>
              <w:right w:type="dxa" w:w="110"/>
            </w:tcMar>
          </w:tcPr>
          <w:p>
            <w:r>
              <w:rPr>
                <w:b/>
                <w:bCs/>
                <w:color w:val="FFFFFF"/>
                <w:sz w:val="19"/>
                <w:szCs w:val="19"/>
              </w:rPr>
              <w:t xml:space="preserve">Source</w:t>
            </w:r>
          </w:p>
        </w:tc>
      </w:tr>
      <w:tr>
        <w:tc>
          <w:tcPr>
            <w:tcW w:type="dxa" w:w="1800"/>
            <w:shd w:fill="FFFFFF" w:val="clear"/>
            <w:tcMar>
              <w:top w:type="dxa" w:w="90"/>
              <w:left w:type="dxa" w:w="110"/>
              <w:bottom w:type="dxa" w:w="90"/>
              <w:right w:type="dxa" w:w="110"/>
            </w:tcMar>
          </w:tcPr>
          <w:p>
            <w:pPr>
              <w:spacing w:after="0" w:line="264"/>
            </w:pPr>
            <w:r>
              <w:rPr>
                <w:b/>
                <w:bCs/>
                <w:sz w:val="19"/>
                <w:szCs w:val="19"/>
              </w:rPr>
              <w:t xml:space="preserve">Firehose destinations</w:t>
            </w:r>
          </w:p>
        </w:tc>
        <w:tc>
          <w:tcPr>
            <w:tcW w:type="dxa" w:w="5560"/>
            <w:shd w:fill="FFFFFF" w:val="clear"/>
            <w:tcMar>
              <w:top w:type="dxa" w:w="90"/>
              <w:left w:type="dxa" w:w="110"/>
              <w:bottom w:type="dxa" w:w="90"/>
              <w:right w:type="dxa" w:w="110"/>
            </w:tcMar>
          </w:tcPr>
          <w:p>
            <w:pPr>
              <w:spacing w:after="0" w:line="264"/>
            </w:pPr>
            <w:r>
              <w:rPr>
                <w:b w:val="false"/>
                <w:bCs w:val="false"/>
                <w:sz w:val="19"/>
                <w:szCs w:val="19"/>
              </w:rPr>
              <w:t xml:space="preserve">S3, Redshift, OpenSearch Service and Serverless, Snowflake, Apache Iceberg Tables, S3 Tables, Splunk, and HTTP endpoints including named third-party providers. No Db2 or mainframe destination.</w:t>
            </w:r>
          </w:p>
        </w:tc>
        <w:tc>
          <w:tcPr>
            <w:tcW w:type="dxa" w:w="2000"/>
            <w:shd w:fill="FFFFFF" w:val="clear"/>
            <w:tcMar>
              <w:top w:type="dxa" w:w="90"/>
              <w:left w:type="dxa" w:w="110"/>
              <w:bottom w:type="dxa" w:w="90"/>
              <w:right w:type="dxa" w:w="110"/>
            </w:tcMar>
          </w:tcPr>
          <w:p>
            <w:pPr>
              <w:spacing w:after="0" w:line="264"/>
            </w:pPr>
            <w:r>
              <w:rPr>
                <w:b w:val="false"/>
                <w:bCs w:val="false"/>
                <w:sz w:val="19"/>
                <w:szCs w:val="19"/>
              </w:rPr>
              <w:t xml:space="preserve">Amazon Data Firehose Developer Guide and FAQs</w:t>
            </w:r>
          </w:p>
        </w:tc>
      </w:tr>
      <w:tr>
        <w:tc>
          <w:tcPr>
            <w:tcW w:type="dxa" w:w="1800"/>
            <w:shd w:fill="F2F5F9" w:val="clear"/>
            <w:tcMar>
              <w:top w:type="dxa" w:w="90"/>
              <w:left w:type="dxa" w:w="110"/>
              <w:bottom w:type="dxa" w:w="90"/>
              <w:right w:type="dxa" w:w="110"/>
            </w:tcMar>
          </w:tcPr>
          <w:p>
            <w:pPr>
              <w:spacing w:after="0" w:line="264"/>
            </w:pPr>
            <w:r>
              <w:rPr>
                <w:b/>
                <w:bCs/>
                <w:sz w:val="19"/>
                <w:szCs w:val="19"/>
              </w:rPr>
              <w:t xml:space="preserve">Firehose delivery semantics</w:t>
            </w:r>
          </w:p>
        </w:tc>
        <w:tc>
          <w:tcPr>
            <w:tcW w:type="dxa" w:w="5560"/>
            <w:shd w:fill="F2F5F9" w:val="clear"/>
            <w:tcMar>
              <w:top w:type="dxa" w:w="90"/>
              <w:left w:type="dxa" w:w="110"/>
              <w:bottom w:type="dxa" w:w="90"/>
              <w:right w:type="dxa" w:w="110"/>
            </w:tcMar>
          </w:tcPr>
          <w:p>
            <w:pPr>
              <w:spacing w:after="0" w:line="264"/>
            </w:pPr>
            <w:r>
              <w:rPr>
                <w:b w:val="false"/>
                <w:bCs w:val="false"/>
                <w:sz w:val="19"/>
                <w:szCs w:val="19"/>
              </w:rPr>
              <w:t xml:space="preserve">At-least-once for all destination types except S3, Apache Iceberg Tables, and Snowflake. Delivery is append-only.</w:t>
            </w:r>
          </w:p>
        </w:tc>
        <w:tc>
          <w:tcPr>
            <w:tcW w:type="dxa" w:w="2000"/>
            <w:shd w:fill="F2F5F9" w:val="clear"/>
            <w:tcMar>
              <w:top w:type="dxa" w:w="90"/>
              <w:left w:type="dxa" w:w="110"/>
              <w:bottom w:type="dxa" w:w="90"/>
              <w:right w:type="dxa" w:w="110"/>
            </w:tcMar>
          </w:tcPr>
          <w:p>
            <w:pPr>
              <w:spacing w:after="0" w:line="264"/>
            </w:pPr>
            <w:r>
              <w:rPr>
                <w:b w:val="false"/>
                <w:bCs w:val="false"/>
                <w:sz w:val="19"/>
                <w:szCs w:val="19"/>
              </w:rPr>
              <w:t xml:space="preserve">Amazon Data Firehose Developer Guide</w:t>
            </w:r>
          </w:p>
        </w:tc>
      </w:tr>
      <w:tr>
        <w:tc>
          <w:tcPr>
            <w:tcW w:type="dxa" w:w="1800"/>
            <w:shd w:fill="FFFFFF" w:val="clear"/>
            <w:tcMar>
              <w:top w:type="dxa" w:w="90"/>
              <w:left w:type="dxa" w:w="110"/>
              <w:bottom w:type="dxa" w:w="90"/>
              <w:right w:type="dxa" w:w="110"/>
            </w:tcMar>
          </w:tcPr>
          <w:p>
            <w:pPr>
              <w:spacing w:after="0" w:line="264"/>
            </w:pPr>
            <w:r>
              <w:rPr>
                <w:b/>
                <w:bCs/>
                <w:sz w:val="19"/>
                <w:szCs w:val="19"/>
              </w:rPr>
              <w:t xml:space="preserve">DMS Db2 target</w:t>
            </w:r>
          </w:p>
        </w:tc>
        <w:tc>
          <w:tcPr>
            <w:tcW w:type="dxa" w:w="5560"/>
            <w:shd w:fill="FFFFFF" w:val="clear"/>
            <w:tcMar>
              <w:top w:type="dxa" w:w="90"/>
              <w:left w:type="dxa" w:w="110"/>
              <w:bottom w:type="dxa" w:w="90"/>
              <w:right w:type="dxa" w:w="110"/>
            </w:tcMar>
          </w:tcPr>
          <w:p>
            <w:pPr>
              <w:spacing w:after="0" w:line="264"/>
            </w:pPr>
            <w:r>
              <w:rPr>
                <w:b w:val="false"/>
                <w:bCs w:val="false"/>
                <w:sz w:val="19"/>
                <w:szCs w:val="19"/>
              </w:rPr>
              <w:t xml:space="preserve">Db2 LUW is supported as a target only when the source is Db2 LUW or Db2 for z/OS.</w:t>
            </w:r>
          </w:p>
        </w:tc>
        <w:tc>
          <w:tcPr>
            <w:tcW w:type="dxa" w:w="2000"/>
            <w:shd w:fill="FFFFFF" w:val="clear"/>
            <w:tcMar>
              <w:top w:type="dxa" w:w="90"/>
              <w:left w:type="dxa" w:w="110"/>
              <w:bottom w:type="dxa" w:w="90"/>
              <w:right w:type="dxa" w:w="110"/>
            </w:tcMar>
          </w:tcPr>
          <w:p>
            <w:pPr>
              <w:spacing w:after="0" w:line="264"/>
            </w:pPr>
            <w:r>
              <w:rPr>
                <w:b w:val="false"/>
                <w:bCs w:val="false"/>
                <w:sz w:val="19"/>
                <w:szCs w:val="19"/>
              </w:rPr>
              <w:t xml:space="preserve">AWS DMS User Guide, Db2 as a target</w:t>
            </w:r>
          </w:p>
        </w:tc>
      </w:tr>
      <w:tr>
        <w:tc>
          <w:tcPr>
            <w:tcW w:type="dxa" w:w="1800"/>
            <w:shd w:fill="F2F5F9" w:val="clear"/>
            <w:tcMar>
              <w:top w:type="dxa" w:w="90"/>
              <w:left w:type="dxa" w:w="110"/>
              <w:bottom w:type="dxa" w:w="90"/>
              <w:right w:type="dxa" w:w="110"/>
            </w:tcMar>
          </w:tcPr>
          <w:p>
            <w:pPr>
              <w:spacing w:after="0" w:line="264"/>
            </w:pPr>
            <w:r>
              <w:rPr>
                <w:b/>
                <w:bCs/>
                <w:sz w:val="19"/>
                <w:szCs w:val="19"/>
              </w:rPr>
              <w:t xml:space="preserve">DMS Db2 for z/OS source</w:t>
            </w:r>
          </w:p>
        </w:tc>
        <w:tc>
          <w:tcPr>
            <w:tcW w:type="dxa" w:w="5560"/>
            <w:shd w:fill="F2F5F9" w:val="clear"/>
            <w:tcMar>
              <w:top w:type="dxa" w:w="90"/>
              <w:left w:type="dxa" w:w="110"/>
              <w:bottom w:type="dxa" w:w="90"/>
              <w:right w:type="dxa" w:w="110"/>
            </w:tcMar>
          </w:tcPr>
          <w:p>
            <w:pPr>
              <w:spacing w:after="0" w:line="264"/>
            </w:pPr>
            <w:r>
              <w:rPr>
                <w:b w:val="false"/>
                <w:bCs w:val="false"/>
                <w:sz w:val="19"/>
                <w:szCs w:val="19"/>
              </w:rPr>
              <w:t xml:space="preserve">Full load replication only. Change data capture is not supported.</w:t>
            </w:r>
          </w:p>
        </w:tc>
        <w:tc>
          <w:tcPr>
            <w:tcW w:type="dxa" w:w="2000"/>
            <w:shd w:fill="F2F5F9" w:val="clear"/>
            <w:tcMar>
              <w:top w:type="dxa" w:w="90"/>
              <w:left w:type="dxa" w:w="110"/>
              <w:bottom w:type="dxa" w:w="90"/>
              <w:right w:type="dxa" w:w="110"/>
            </w:tcMar>
          </w:tcPr>
          <w:p>
            <w:pPr>
              <w:spacing w:after="0" w:line="264"/>
            </w:pPr>
            <w:r>
              <w:rPr>
                <w:b w:val="false"/>
                <w:bCs w:val="false"/>
                <w:sz w:val="19"/>
                <w:szCs w:val="19"/>
              </w:rPr>
              <w:t xml:space="preserve">AWS DMS User Guide, Db2 for z/OS as a source</w:t>
            </w:r>
          </w:p>
        </w:tc>
      </w:tr>
      <w:tr>
        <w:tc>
          <w:tcPr>
            <w:tcW w:type="dxa" w:w="1800"/>
            <w:shd w:fill="FFFFFF" w:val="clear"/>
            <w:tcMar>
              <w:top w:type="dxa" w:w="90"/>
              <w:left w:type="dxa" w:w="110"/>
              <w:bottom w:type="dxa" w:w="90"/>
              <w:right w:type="dxa" w:w="110"/>
            </w:tcMar>
          </w:tcPr>
          <w:p>
            <w:pPr>
              <w:spacing w:after="0" w:line="264"/>
            </w:pPr>
            <w:r>
              <w:rPr>
                <w:b/>
                <w:bCs/>
                <w:sz w:val="19"/>
                <w:szCs w:val="19"/>
              </w:rPr>
              <w:t xml:space="preserve">DMS Kinesis partition key</w:t>
            </w:r>
          </w:p>
        </w:tc>
        <w:tc>
          <w:tcPr>
            <w:tcW w:type="dxa" w:w="5560"/>
            <w:shd w:fill="FFFFFF" w:val="clear"/>
            <w:tcMar>
              <w:top w:type="dxa" w:w="90"/>
              <w:left w:type="dxa" w:w="110"/>
              <w:bottom w:type="dxa" w:w="90"/>
              <w:right w:type="dxa" w:w="110"/>
            </w:tcMar>
          </w:tcPr>
          <w:p>
            <w:pPr>
              <w:spacing w:after="0" w:line="264"/>
            </w:pPr>
            <w:r>
              <w:rPr>
                <w:b w:val="false"/>
                <w:bCs w:val="false"/>
                <w:sz w:val="19"/>
                <w:szCs w:val="19"/>
              </w:rPr>
              <w:t xml:space="preserve">Default is the table primary key. Can be set to schema and table name. PartitionIncludeSchemaTable prefixes schema and table to the partition value to prevent primary-key collisions across tables.</w:t>
            </w:r>
          </w:p>
        </w:tc>
        <w:tc>
          <w:tcPr>
            <w:tcW w:type="dxa" w:w="2000"/>
            <w:shd w:fill="FFFFFF" w:val="clear"/>
            <w:tcMar>
              <w:top w:type="dxa" w:w="90"/>
              <w:left w:type="dxa" w:w="110"/>
              <w:bottom w:type="dxa" w:w="90"/>
              <w:right w:type="dxa" w:w="110"/>
            </w:tcMar>
          </w:tcPr>
          <w:p>
            <w:pPr>
              <w:spacing w:after="0" w:line="264"/>
            </w:pPr>
            <w:r>
              <w:rPr>
                <w:b w:val="false"/>
                <w:bCs w:val="false"/>
                <w:sz w:val="19"/>
                <w:szCs w:val="19"/>
              </w:rPr>
              <w:t xml:space="preserve">AWS DMS User Guide, Kinesis as a target</w:t>
            </w:r>
          </w:p>
        </w:tc>
      </w:tr>
      <w:tr>
        <w:tc>
          <w:tcPr>
            <w:tcW w:type="dxa" w:w="1800"/>
            <w:shd w:fill="F2F5F9" w:val="clear"/>
            <w:tcMar>
              <w:top w:type="dxa" w:w="90"/>
              <w:left w:type="dxa" w:w="110"/>
              <w:bottom w:type="dxa" w:w="90"/>
              <w:right w:type="dxa" w:w="110"/>
            </w:tcMar>
          </w:tcPr>
          <w:p>
            <w:pPr>
              <w:spacing w:after="0" w:line="264"/>
            </w:pPr>
            <w:r>
              <w:rPr>
                <w:b/>
                <w:bCs/>
                <w:sz w:val="19"/>
                <w:szCs w:val="19"/>
              </w:rPr>
              <w:t xml:space="preserve">DMS Kinesis batch apply</w:t>
            </w:r>
          </w:p>
        </w:tc>
        <w:tc>
          <w:tcPr>
            <w:tcW w:type="dxa" w:w="5560"/>
            <w:shd w:fill="F2F5F9" w:val="clear"/>
            <w:tcMar>
              <w:top w:type="dxa" w:w="90"/>
              <w:left w:type="dxa" w:w="110"/>
              <w:bottom w:type="dxa" w:w="90"/>
              <w:right w:type="dxa" w:w="110"/>
            </w:tcMar>
          </w:tcPr>
          <w:p>
            <w:pPr>
              <w:spacing w:after="0" w:line="264"/>
            </w:pPr>
            <w:r>
              <w:rPr>
                <w:b w:val="false"/>
                <w:bCs w:val="false"/>
                <w:sz w:val="19"/>
                <w:szCs w:val="19"/>
              </w:rPr>
              <w:t xml:space="preserve">Batch apply is not supported for a Kinesis endpoint and causes task failure and data loss if enabled.</w:t>
            </w:r>
          </w:p>
        </w:tc>
        <w:tc>
          <w:tcPr>
            <w:tcW w:type="dxa" w:w="2000"/>
            <w:shd w:fill="F2F5F9" w:val="clear"/>
            <w:tcMar>
              <w:top w:type="dxa" w:w="90"/>
              <w:left w:type="dxa" w:w="110"/>
              <w:bottom w:type="dxa" w:w="90"/>
              <w:right w:type="dxa" w:w="110"/>
            </w:tcMar>
          </w:tcPr>
          <w:p>
            <w:pPr>
              <w:spacing w:after="0" w:line="264"/>
            </w:pPr>
            <w:r>
              <w:rPr>
                <w:b w:val="false"/>
                <w:bCs w:val="false"/>
                <w:sz w:val="19"/>
                <w:szCs w:val="19"/>
              </w:rPr>
              <w:t xml:space="preserve">AWS DMS User Guide, Kinesis as a target</w:t>
            </w:r>
          </w:p>
        </w:tc>
      </w:tr>
      <w:tr>
        <w:tc>
          <w:tcPr>
            <w:tcW w:type="dxa" w:w="1800"/>
            <w:shd w:fill="FFFFFF" w:val="clear"/>
            <w:tcMar>
              <w:top w:type="dxa" w:w="90"/>
              <w:left w:type="dxa" w:w="110"/>
              <w:bottom w:type="dxa" w:w="90"/>
              <w:right w:type="dxa" w:w="110"/>
            </w:tcMar>
          </w:tcPr>
          <w:p>
            <w:pPr>
              <w:spacing w:after="0" w:line="264"/>
            </w:pPr>
            <w:r>
              <w:rPr>
                <w:b/>
                <w:bCs/>
                <w:sz w:val="19"/>
                <w:szCs w:val="19"/>
              </w:rPr>
              <w:t xml:space="preserve">Kinesis deduplication</w:t>
            </w:r>
          </w:p>
        </w:tc>
        <w:tc>
          <w:tcPr>
            <w:tcW w:type="dxa" w:w="5560"/>
            <w:shd w:fill="FFFFFF" w:val="clear"/>
            <w:tcMar>
              <w:top w:type="dxa" w:w="90"/>
              <w:left w:type="dxa" w:w="110"/>
              <w:bottom w:type="dxa" w:w="90"/>
              <w:right w:type="dxa" w:w="110"/>
            </w:tcMar>
          </w:tcPr>
          <w:p>
            <w:pPr>
              <w:spacing w:after="0" w:line="264"/>
            </w:pPr>
            <w:r>
              <w:rPr>
                <w:b w:val="false"/>
                <w:bCs w:val="false"/>
                <w:sz w:val="19"/>
                <w:szCs w:val="19"/>
              </w:rPr>
              <w:t xml:space="preserve">Kinesis Data Streams does not deduplicate. Consuming applications must handle duplicate records.</w:t>
            </w:r>
          </w:p>
        </w:tc>
        <w:tc>
          <w:tcPr>
            <w:tcW w:type="dxa" w:w="2000"/>
            <w:shd w:fill="FFFFFF" w:val="clear"/>
            <w:tcMar>
              <w:top w:type="dxa" w:w="90"/>
              <w:left w:type="dxa" w:w="110"/>
              <w:bottom w:type="dxa" w:w="90"/>
              <w:right w:type="dxa" w:w="110"/>
            </w:tcMar>
          </w:tcPr>
          <w:p>
            <w:pPr>
              <w:spacing w:after="0" w:line="264"/>
            </w:pPr>
            <w:r>
              <w:rPr>
                <w:b w:val="false"/>
                <w:bCs w:val="false"/>
                <w:sz w:val="19"/>
                <w:szCs w:val="19"/>
              </w:rPr>
              <w:t xml:space="preserve">AWS DMS User Guide, Kinesis as a target</w:t>
            </w:r>
          </w:p>
        </w:tc>
      </w:tr>
      <w:tr>
        <w:tc>
          <w:tcPr>
            <w:tcW w:type="dxa" w:w="1800"/>
            <w:shd w:fill="F2F5F9" w:val="clear"/>
            <w:tcMar>
              <w:top w:type="dxa" w:w="90"/>
              <w:left w:type="dxa" w:w="110"/>
              <w:bottom w:type="dxa" w:w="90"/>
              <w:right w:type="dxa" w:w="110"/>
            </w:tcMar>
          </w:tcPr>
          <w:p>
            <w:pPr>
              <w:spacing w:after="0" w:line="264"/>
            </w:pPr>
            <w:r>
              <w:rPr>
                <w:b/>
                <w:bCs/>
                <w:sz w:val="19"/>
                <w:szCs w:val="19"/>
              </w:rPr>
              <w:t xml:space="preserve">Kinesis shard limits</w:t>
            </w:r>
          </w:p>
        </w:tc>
        <w:tc>
          <w:tcPr>
            <w:tcW w:type="dxa" w:w="5560"/>
            <w:shd w:fill="F2F5F9" w:val="clear"/>
            <w:tcMar>
              <w:top w:type="dxa" w:w="90"/>
              <w:left w:type="dxa" w:w="110"/>
              <w:bottom w:type="dxa" w:w="90"/>
              <w:right w:type="dxa" w:w="110"/>
            </w:tcMar>
          </w:tcPr>
          <w:p>
            <w:pPr>
              <w:spacing w:after="0" w:line="264"/>
            </w:pPr>
            <w:r>
              <w:rPr>
                <w:b w:val="false"/>
                <w:bCs w:val="false"/>
                <w:sz w:val="19"/>
                <w:szCs w:val="19"/>
              </w:rPr>
              <w:t xml:space="preserve">1 MB per second and 1,000 records per second on write. 2 MB per second on read, shared across consumers unless enhanced fan-out is used. Maximum record size 1 MB.</w:t>
            </w:r>
          </w:p>
        </w:tc>
        <w:tc>
          <w:tcPr>
            <w:tcW w:type="dxa" w:w="2000"/>
            <w:shd w:fill="F2F5F9" w:val="clear"/>
            <w:tcMar>
              <w:top w:type="dxa" w:w="90"/>
              <w:left w:type="dxa" w:w="110"/>
              <w:bottom w:type="dxa" w:w="90"/>
              <w:right w:type="dxa" w:w="110"/>
            </w:tcMar>
          </w:tcPr>
          <w:p>
            <w:pPr>
              <w:spacing w:after="0" w:line="264"/>
            </w:pPr>
            <w:r>
              <w:rPr>
                <w:b w:val="false"/>
                <w:bCs w:val="false"/>
                <w:sz w:val="19"/>
                <w:szCs w:val="19"/>
              </w:rPr>
              <w:t xml:space="preserve">Amazon Kinesis Data Streams Developer Guide</w:t>
            </w:r>
          </w:p>
        </w:tc>
      </w:tr>
      <w:tr>
        <w:tc>
          <w:tcPr>
            <w:tcW w:type="dxa" w:w="1800"/>
            <w:shd w:fill="FFFFFF" w:val="clear"/>
            <w:tcMar>
              <w:top w:type="dxa" w:w="90"/>
              <w:left w:type="dxa" w:w="110"/>
              <w:bottom w:type="dxa" w:w="90"/>
              <w:right w:type="dxa" w:w="110"/>
            </w:tcMar>
          </w:tcPr>
          <w:p>
            <w:pPr>
              <w:spacing w:after="0" w:line="264"/>
            </w:pPr>
            <w:r>
              <w:rPr>
                <w:b/>
                <w:bCs/>
                <w:sz w:val="19"/>
                <w:szCs w:val="19"/>
              </w:rPr>
              <w:t xml:space="preserve">SNS and SQS message size</w:t>
            </w:r>
          </w:p>
        </w:tc>
        <w:tc>
          <w:tcPr>
            <w:tcW w:type="dxa" w:w="5560"/>
            <w:shd w:fill="FFFFFF" w:val="clear"/>
            <w:tcMar>
              <w:top w:type="dxa" w:w="90"/>
              <w:left w:type="dxa" w:w="110"/>
              <w:bottom w:type="dxa" w:w="90"/>
              <w:right w:type="dxa" w:w="110"/>
            </w:tcMar>
          </w:tcPr>
          <w:p>
            <w:pPr>
              <w:spacing w:after="0" w:line="264"/>
            </w:pPr>
            <w:r>
              <w:rPr>
                <w:b w:val="false"/>
                <w:bCs w:val="false"/>
                <w:sz w:val="19"/>
                <w:szCs w:val="19"/>
              </w:rPr>
              <w:t xml:space="preserve">256 KB maximum for both. Payloads above this require the claim-check pattern.</w:t>
            </w:r>
          </w:p>
        </w:tc>
        <w:tc>
          <w:tcPr>
            <w:tcW w:type="dxa" w:w="2000"/>
            <w:shd w:fill="FFFFFF" w:val="clear"/>
            <w:tcMar>
              <w:top w:type="dxa" w:w="90"/>
              <w:left w:type="dxa" w:w="110"/>
              <w:bottom w:type="dxa" w:w="90"/>
              <w:right w:type="dxa" w:w="110"/>
            </w:tcMar>
          </w:tcPr>
          <w:p>
            <w:pPr>
              <w:spacing w:after="0" w:line="264"/>
            </w:pPr>
            <w:r>
              <w:rPr>
                <w:b w:val="false"/>
                <w:bCs w:val="false"/>
                <w:sz w:val="19"/>
                <w:szCs w:val="19"/>
              </w:rPr>
              <w:t xml:space="preserve">Amazon SNS and Amazon SQS Developer Guides</w:t>
            </w:r>
          </w:p>
        </w:tc>
      </w:tr>
      <w:tr>
        <w:tc>
          <w:tcPr>
            <w:tcW w:type="dxa" w:w="1800"/>
            <w:shd w:fill="F2F5F9" w:val="clear"/>
            <w:tcMar>
              <w:top w:type="dxa" w:w="90"/>
              <w:left w:type="dxa" w:w="110"/>
              <w:bottom w:type="dxa" w:w="90"/>
              <w:right w:type="dxa" w:w="110"/>
            </w:tcMar>
          </w:tcPr>
          <w:p>
            <w:pPr>
              <w:spacing w:after="0" w:line="264"/>
            </w:pPr>
            <w:r>
              <w:rPr>
                <w:b/>
                <w:bCs/>
                <w:sz w:val="19"/>
                <w:szCs w:val="19"/>
              </w:rPr>
              <w:t xml:space="preserve">SNS FIFO delivery</w:t>
            </w:r>
          </w:p>
        </w:tc>
        <w:tc>
          <w:tcPr>
            <w:tcW w:type="dxa" w:w="5560"/>
            <w:shd w:fill="F2F5F9" w:val="clear"/>
            <w:tcMar>
              <w:top w:type="dxa" w:w="90"/>
              <w:left w:type="dxa" w:w="110"/>
              <w:bottom w:type="dxa" w:w="90"/>
              <w:right w:type="dxa" w:w="110"/>
            </w:tcMar>
          </w:tcPr>
          <w:p>
            <w:pPr>
              <w:spacing w:after="0" w:line="264"/>
            </w:pPr>
            <w:r>
              <w:rPr>
                <w:b w:val="false"/>
                <w:bCs w:val="false"/>
                <w:sz w:val="19"/>
                <w:szCs w:val="19"/>
              </w:rPr>
              <w:t xml:space="preserve">SNS FIFO topics can deliver only to SQS FIFO queues.</w:t>
            </w:r>
          </w:p>
        </w:tc>
        <w:tc>
          <w:tcPr>
            <w:tcW w:type="dxa" w:w="2000"/>
            <w:shd w:fill="F2F5F9" w:val="clear"/>
            <w:tcMar>
              <w:top w:type="dxa" w:w="90"/>
              <w:left w:type="dxa" w:w="110"/>
              <w:bottom w:type="dxa" w:w="90"/>
              <w:right w:type="dxa" w:w="110"/>
            </w:tcMar>
          </w:tcPr>
          <w:p>
            <w:pPr>
              <w:spacing w:after="0" w:line="264"/>
            </w:pPr>
            <w:r>
              <w:rPr>
                <w:b w:val="false"/>
                <w:bCs w:val="false"/>
                <w:sz w:val="19"/>
                <w:szCs w:val="19"/>
              </w:rPr>
              <w:t xml:space="preserve">Amazon SNS Developer Guide</w:t>
            </w:r>
          </w:p>
        </w:tc>
      </w:tr>
    </w:tbl>
    <w:p>
      <w:pPr>
        <w:spacing w:after="200"/>
      </w:pPr>
      <w:r>
        <w:rPr>
          <w:sz w:val="2"/>
          <w:szCs w:val="2"/>
        </w:rPr>
        <w:t xml:space="preserve"/>
      </w:r>
    </w:p>
    <w:p>
      <w:pPr>
        <w:spacing w:after="140" w:line="276"/>
      </w:pPr>
      <w:r>
        <w:rPr>
          <w:b w:val="false"/>
          <w:bCs w:val="false"/>
          <w:i/>
          <w:iCs/>
          <w:sz w:val="21"/>
          <w:szCs w:val="21"/>
        </w:rPr>
        <w:t xml:space="preserve">Service capabilities change. Any of these should be re-verified before a decision is finalised, particularly the Firehose destination list and the DMS target matrix.</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Message Synchronization Framework — Architecture Review</dc:title>
  <dc:creator>Architecture Review</dc:creator>
  <dc:description>Architecture assessment and revised design</dc:description>
  <cp:lastModifiedBy>Un-named</cp:lastModifiedBy>
  <cp:revision>1</cp:revision>
  <dcterms:created xsi:type="dcterms:W3CDTF">2026-09-01T15:29:01.409Z</dcterms:created>
  <dcterms:modified xsi:type="dcterms:W3CDTF">2026-09-01T15:29:01.410Z</dcterms:modified>
</cp:coreProperties>
</file>

<file path=docProps/custom.xml><?xml version="1.0" encoding="utf-8"?>
<Properties xmlns="http://schemas.openxmlformats.org/officeDocument/2006/custom-properties" xmlns:vt="http://schemas.openxmlformats.org/officeDocument/2006/docPropsVTypes"/>
</file>