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VeriFlow Compiler and Schema Migration Research Report</w:t>
      </w:r>
    </w:p>
    <w:p>
      <w:pPr>
        <w:spacing w:after="100"/>
      </w:pPr>
      <w:r>
        <w:t>Detailed implementation and evaluation report for supervisor review</w:t>
      </w:r>
    </w:p>
    <w:p>
      <w:pPr>
        <w:spacing w:after="100"/>
      </w:pPr>
      <w:r>
        <w:t>Sai Mohita.C  |  Registration number 24BCE2057  |  Revised 30 October 2026</w:t>
      </w:r>
    </w:p>
    <w:p>
      <w:pPr>
        <w:spacing w:after="100"/>
      </w:pPr>
      <w:r>
        <w:t>Implementation revision bad325e  |  Repository https://github.com/Sai181006/VeriFlow</w:t>
      </w:r>
    </w:p>
    <w:p>
      <w:pPr>
        <w:pStyle w:val="Heading1"/>
        <w:keepNext/>
      </w:pPr>
      <w:r>
        <w:t>Executive summary</w:t>
      </w:r>
    </w:p>
    <w:p>
      <w:pPr>
        <w:spacing w:after="100"/>
      </w:pPr>
      <w:r>
        <w:t>VeriFlow is a compiler for deterministic, typed, row-wise CSV pipelines. Its research extension examines an explicit schema migration, compiles new-schema field bindings for the existing virtual machine, and chooses guard admission, selective retention or rejection for each old row. The persisted bundle can be replayed from disk without reopening the original source CSV. The central claim concerns equality of typed pipeline observations for accepted well-typed old rows at migration time.</w:t>
      </w:r>
    </w:p>
    <w:p>
      <w:pPr>
        <w:spacing w:after="100"/>
      </w:pPr>
      <w:r>
        <w:t>The latest extension defers old fields used only by final projection. A filtered, rejected or expression-error row never reaches that projection, so sparse migration need not keep those old cells. Three internal reviewers selected this bounded feature after comparing it with future-row certification and a larger language expansion. The resulting implementation passed 107 tests.</w:t>
      </w:r>
    </w:p>
    <w:p>
      <w:pPr>
        <w:spacing w:after="100"/>
      </w:pPr>
      <w:r>
        <w:t>The strongest evaluation uses a documented Malaysian Ministry of Health ICU CSV drop-and-rename event with 7,315 paired rows. In a pipeline that selects the dropped vent_sari field, terminal-aware sparse mode retains 4,025 old cells, compared with 36,575 under full-row retention, while replay reports zero typed-observation mismatches. The 3,290 filtered rows need no old selected cell. A separate ten-case synthetic pilot over 5,926 distinct UCI rows provides controlled stress and negative controls. The single real schema event and researcher-authored pipelines remain the main external-validity limits.</w:t>
      </w:r>
    </w:p>
    <w:p>
      <w:pPr>
        <w:pStyle w:val="Heading1"/>
        <w:keepNext/>
      </w:pPr>
      <w:r>
        <w:t>1 Research question and contribution</w:t>
      </w:r>
    </w:p>
    <w:p>
      <w:pPr>
        <w:spacing w:after="100"/>
      </w:pPr>
      <w:r>
        <w:t>A migration may be lossy at the record level yet preserve the behavior of a particular pipeline. For example, truncating decimal score 5.7 to integer 5 changes score &gt; 5 but preserves score &gt;= 5. VeriFlow asks whether one typed pipeline's observable result is preserved under a specified mapping, and what migration-time evidence or old cells are needed when a universal proof is unavailable.</w:t>
      </w:r>
    </w:p>
    <w:p>
      <w:pPr>
        <w:spacing w:after="100"/>
      </w:pPr>
      <w:r>
        <w:t>An observation is emitted selected typed values in order, a filtered outcome, a validation rejection with message, or an expression error class. The system analyzes dependencies of executed operations and selected fields, applies sufficient preservation rules, and attaches guards to value-dependent conversions. It compiles an EvolvedProgram that binds new-schema cells to legacy VM names, then verifies old-versus-replayed observations before publishing a bundle. Conditional equivalence, provenance recovery and query preservation are established research ideas; the contribution is this executable combination for a limited row-pipeline language.</w:t>
      </w:r>
    </w:p>
    <w:p>
      <w:pPr>
        <w:pStyle w:val="Heading1"/>
        <w:keepNext/>
      </w:pPr>
      <w:r>
        <w:t>2 Recent research and the addressed gap</w:t>
      </w:r>
    </w:p>
    <w:tbl>
      <w:tblPr>
        <w:tblW w:type="auto" w:w="0"/>
        <w:jc w:val="center"/>
        <w:tblLayout w:type="fixed"/>
        <w:tblLook w:firstColumn="1" w:firstRow="1" w:lastColumn="0" w:lastRow="0" w:noHBand="0" w:noVBand="1" w:val="04A0"/>
      </w:tblPr>
      <w:tblGrid>
        <w:gridCol w:w="1871"/>
        <w:gridCol w:w="2948"/>
        <w:gridCol w:w="4535"/>
      </w:tblGrid>
      <w:tr>
        <w:trPr>
          <w:tblHeader w:val="true"/>
          <w:cantSplit/>
        </w:trPr>
        <w:tc>
          <w:tcPr>
            <w:tcW w:type="dxa" w:w="1871"/>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Work</w:t>
            </w:r>
          </w:p>
        </w:tc>
        <w:tc>
          <w:tcPr>
            <w:tcW w:type="dxa" w:w="2948"/>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Primary focus</w:t>
            </w:r>
          </w:p>
        </w:tc>
        <w:tc>
          <w:tcPr>
            <w:tcW w:type="dxa" w:w="4535"/>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VeriFlow's narrower test</w:t>
            </w:r>
          </w:p>
        </w:tc>
      </w:tr>
      <w:tr>
        <w:trPr>
          <w:cantSplit/>
        </w:trPr>
        <w:tc>
          <w:tcPr>
            <w:tcW w:type="dxa" w:w="187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Awiti et al. 2025</w:t>
            </w:r>
          </w:p>
        </w:tc>
        <w:tc>
          <w:tcPr>
            <w:tcW w:type="dxa" w:w="2948"/>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ETL operator repair under source schema change</w:t>
            </w:r>
          </w:p>
        </w:tc>
        <w:tc>
          <w:tcPr>
            <w:tcW w:type="dxa" w:w="4535"/>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Typed row observations and executable guard, retain or reject decisions</w:t>
            </w:r>
          </w:p>
        </w:tc>
      </w:tr>
      <w:tr>
        <w:trPr>
          <w:cantSplit/>
        </w:trPr>
        <w:tc>
          <w:tcPr>
            <w:tcW w:type="dxa" w:w="187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Kramer et al. 2025</w:t>
            </w:r>
          </w:p>
        </w:tc>
        <w:tc>
          <w:tcPr>
            <w:tcW w:type="dxa" w:w="2948"/>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Robustness of cleaning operators and self-adaptation direction</w:t>
            </w:r>
          </w:p>
        </w:tc>
        <w:tc>
          <w:tcPr>
            <w:tcW w:type="dxa" w:w="4535"/>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Migration-time value guards with replay evidence in a restricted operator fragment</w:t>
            </w:r>
          </w:p>
        </w:tc>
      </w:tr>
      <w:tr>
        <w:trPr>
          <w:cantSplit/>
        </w:trPr>
        <w:tc>
          <w:tcPr>
            <w:tcW w:type="dxa" w:w="187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Auge and Heuer 2022</w:t>
            </w:r>
          </w:p>
        </w:tc>
        <w:tc>
          <w:tcPr>
            <w:tcW w:type="dxa" w:w="2948"/>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Provenance-assisted inversion</w:t>
            </w:r>
          </w:p>
        </w:tc>
        <w:tc>
          <w:tcPr>
            <w:tcW w:type="dxa" w:w="4535"/>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Retain only old cells needed for a specific pipeline and terminal outcome</w:t>
            </w:r>
          </w:p>
        </w:tc>
      </w:tr>
      <w:tr>
        <w:trPr>
          <w:cantSplit/>
        </w:trPr>
        <w:tc>
          <w:tcPr>
            <w:tcW w:type="dxa" w:w="187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Ortín et al. 2026 preprint</w:t>
            </w:r>
          </w:p>
        </w:tc>
        <w:tc>
          <w:tcPr>
            <w:tcW w:type="dxa" w:w="2948"/>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Broader model migration and query-result equivalence</w:t>
            </w:r>
          </w:p>
        </w:tc>
        <w:tc>
          <w:tcPr>
            <w:tcW w:type="dxa" w:w="4535"/>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Explicitly lossy CSV mapping with per-row preservation evidence</w:t>
            </w:r>
          </w:p>
        </w:tc>
      </w:tr>
      <w:tr>
        <w:trPr>
          <w:cantSplit/>
        </w:trPr>
        <w:tc>
          <w:tcPr>
            <w:tcW w:type="dxa" w:w="187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EvoSchema 2025</w:t>
            </w:r>
          </w:p>
        </w:tc>
        <w:tc>
          <w:tcPr>
            <w:tcW w:type="dxa" w:w="2948"/>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Text-to-SQL robustness benchmark under schema change</w:t>
            </w:r>
          </w:p>
        </w:tc>
        <w:tc>
          <w:tcPr>
            <w:tcW w:type="dxa" w:w="4535"/>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Executable typed pipeline behavior on one paired history and controlled cases</w:t>
            </w:r>
          </w:p>
        </w:tc>
      </w:tr>
    </w:tbl>
    <w:p/>
    <w:p>
      <w:pPr>
        <w:spacing w:after="100"/>
      </w:pPr>
      <w:r>
        <w:t>These are adjacent contributions, not head-to-head implementations of the same task. VeriFlow should not claim that it invented provenance, ETL repair, or query equivalence. Its current gap coverage is real code: impact analysis, compiled bindings, guard certificates, sparse sidecars and disk replay. The remaining research gap is breadth of independent real-history evidence and a comparable baseline.</w:t>
      </w:r>
    </w:p>
    <w:p>
      <w:pPr>
        <w:pStyle w:val="Heading1"/>
        <w:keepNext/>
      </w:pPr>
      <w:r>
        <w:t>3 Compiler architecture</w:t>
      </w:r>
    </w:p>
    <w:tbl>
      <w:tblPr>
        <w:tblW w:type="auto" w:w="0"/>
        <w:jc w:val="center"/>
        <w:tblLayout w:type="fixed"/>
        <w:tblLook w:firstColumn="1" w:firstRow="1" w:lastColumn="0" w:lastRow="0" w:noHBand="0" w:noVBand="1" w:val="04A0"/>
      </w:tblPr>
      <w:tblGrid>
        <w:gridCol w:w="1361"/>
        <w:gridCol w:w="4706"/>
        <w:gridCol w:w="3288"/>
      </w:tblGrid>
      <w:tr>
        <w:trPr>
          <w:tblHeader w:val="true"/>
          <w:cantSplit/>
        </w:trPr>
        <w:tc>
          <w:tcPr>
            <w:tcW w:type="dxa" w:w="1361"/>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Phase</w:t>
            </w:r>
          </w:p>
        </w:tc>
        <w:tc>
          <w:tcPr>
            <w:tcW w:type="dxa" w:w="4706"/>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Code and responsibility</w:t>
            </w:r>
          </w:p>
        </w:tc>
        <w:tc>
          <w:tcPr>
            <w:tcW w:type="dxa" w:w="3288"/>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Visible output</w:t>
            </w:r>
          </w:p>
        </w:tc>
      </w:tr>
      <w:tr>
        <w:trPr>
          <w:cantSplit/>
        </w:trPr>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Front end</w:t>
            </w:r>
          </w:p>
        </w:tc>
        <w:tc>
          <w:tcPr>
            <w:tcW w:type="dxa" w:w="4706"/>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lexer.py tokenizes; parser.py builds AST nodes in ast.py</w:t>
            </w:r>
          </w:p>
        </w:tc>
        <w:tc>
          <w:tcPr>
            <w:tcW w:type="dxa" w:w="3288"/>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Token stream and syntax tree</w:t>
            </w:r>
          </w:p>
        </w:tc>
      </w:tr>
      <w:tr>
        <w:trPr>
          <w:cantSplit/>
        </w:trPr>
        <w:tc>
          <w:tcPr>
            <w:tcW w:type="dxa" w:w="136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Middle end</w:t>
            </w:r>
          </w:p>
        </w:tc>
        <w:tc>
          <w:tcPr>
            <w:tcW w:type="dxa" w:w="4706"/>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semantics.py resolves names and types; ir.py lowers; optimizer.py rewrites checked expressions</w:t>
            </w:r>
          </w:p>
        </w:tc>
        <w:tc>
          <w:tcPr>
            <w:tcW w:type="dxa" w:w="3288"/>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Symbol table, logical IR and optimized instructions</w:t>
            </w:r>
          </w:p>
        </w:tc>
      </w:tr>
      <w:tr>
        <w:trPr>
          <w:cantSplit/>
        </w:trPr>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Back end</w:t>
            </w:r>
          </w:p>
        </w:tc>
        <w:tc>
          <w:tcPr>
            <w:tcW w:type="dxa" w:w="4706"/>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vm.py compiles stack-machine bytecode; runtime.py executes CSV operations</w:t>
            </w:r>
          </w:p>
        </w:tc>
        <w:tc>
          <w:tcPr>
            <w:tcW w:type="dxa" w:w="3288"/>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LOAD_FIELD, PUSH_INT, arithmetic, jumps and output rows</w:t>
            </w:r>
          </w:p>
        </w:tc>
      </w:tr>
      <w:tr>
        <w:trPr>
          <w:cantSplit/>
        </w:trPr>
        <w:tc>
          <w:tcPr>
            <w:tcW w:type="dxa" w:w="136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Evolution path</w:t>
            </w:r>
          </w:p>
        </w:tc>
        <w:tc>
          <w:tcPr>
            <w:tcW w:type="dxa" w:w="4706"/>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impact.py analyzes dependencies; evolved.py compiles bindings; migration.py writes and replays bundles</w:t>
            </w:r>
          </w:p>
        </w:tc>
        <w:tc>
          <w:tcPr>
            <w:tcW w:type="dxa" w:w="3288"/>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Impact status, guard requirements, ledger and replay result</w:t>
            </w:r>
          </w:p>
        </w:tc>
      </w:tr>
    </w:tbl>
    <w:p/>
    <w:p>
      <w:pPr>
        <w:spacing w:after="100"/>
      </w:pPr>
      <w:r>
        <w:t>The generated code is executable VM bytecode plus a compiled new-schema input plan. The project does not produce a standalone Python program or a textual rewritten .vfl source file. In the optimization demo, constant folding, arithmetic identity removal and Boolean simplification reduce a sample expression from 21 instructions to 13. This is an instruction-count result for the demo, not a general runtime-speedup claim.</w:t>
      </w:r>
    </w:p>
    <w:p>
      <w:pPr>
        <w:pStyle w:val="Heading1"/>
        <w:keepNext/>
      </w:pPr>
      <w:r>
        <w:t>4 Terminal-aware retention extension</w:t>
      </w:r>
    </w:p>
    <w:p>
      <w:pPr>
        <w:pStyle w:val="Heading2"/>
        <w:keepNext/>
      </w:pPr>
      <w:r>
        <w:t>4.1 Council decision</w:t>
      </w:r>
    </w:p>
    <w:p>
      <w:pPr>
        <w:spacing w:after="100"/>
      </w:pPr>
      <w:r>
        <w:t>Three internal reviewers examined compiler correctness, recent literature and evaluation usefulness. Two initially favored terminal-aware retention; one initially favored limited certification for future new-schema-only rows. After reviewing the required preimage guarantee and indeterminate cases for future rows, all three agreed that projection-only terminal retention was the better current extension. It broadens data minimization without broadening the language or weakening the observation contract.</w:t>
      </w:r>
    </w:p>
    <w:p>
      <w:pPr>
        <w:pStyle w:val="Heading2"/>
        <w:keepNext/>
      </w:pPr>
      <w:r>
        <w:t>4.2 Implemented steps</w:t>
      </w:r>
    </w:p>
    <w:p>
      <w:pPr>
        <w:pStyle w:val="ListNumber"/>
        <w:spacing w:after="100"/>
      </w:pPr>
      <w:r>
        <w:t>Classify old fields loaded by any VM operation separately from old fields used only by final select.</w:t>
      </w:r>
    </w:p>
    <w:p>
      <w:pPr>
        <w:pStyle w:val="ListNumber"/>
        <w:spacing w:after="100"/>
      </w:pPr>
      <w:r>
        <w:t>Bind all operation inputs conservatively, then execute let, require and keep in their declared order.</w:t>
      </w:r>
    </w:p>
    <w:p>
      <w:pPr>
        <w:pStyle w:val="ListNumber"/>
        <w:spacing w:after="100"/>
      </w:pPr>
      <w:r>
        <w:t>Compute the old typed observation before deciding which cells sparse mode retains.</w:t>
      </w:r>
    </w:p>
    <w:p>
      <w:pPr>
        <w:pStyle w:val="ListNumber"/>
        <w:spacing w:after="100"/>
      </w:pPr>
      <w:r>
        <w:t>For a terminal filtered, rejected or expression-error result, omit projection-only old cells. Bind them for an emitted result.</w:t>
      </w:r>
    </w:p>
    <w:p>
      <w:pPr>
        <w:pStyle w:val="ListNumber"/>
        <w:spacing w:after="100"/>
      </w:pPr>
      <w:r>
        <w:t>Keep a recovered ledger entry when a static guard or drop prevented universal admission, even if that row's sidecar contains no old cell.</w:t>
      </w:r>
    </w:p>
    <w:p>
      <w:pPr>
        <w:pStyle w:val="ListNumber"/>
        <w:spacing w:after="100"/>
      </w:pPr>
      <w:r>
        <w:t>Reload the persisted plan and paired files, replay the row, and compare typed observations before bundle publication.</w:t>
      </w:r>
    </w:p>
    <w:p>
      <w:pPr>
        <w:spacing w:after="100"/>
      </w:pPr>
      <w:r>
        <w:t>This is terminal-aware projection retention, not globally minimal dynamic lineage. Fields read by any VM operation remain conservatively available even when a particular row terminates before a later operation. The guarantee covers old rows checked during migration; a new-only future row has no old-row guard certificate.</w:t>
      </w:r>
    </w:p>
    <w:p>
      <w:pPr>
        <w:pStyle w:val="Heading1"/>
        <w:keepNext/>
      </w:pPr>
      <w:r>
        <w:t>5 Evaluation design</w:t>
      </w:r>
    </w:p>
    <w:p>
      <w:pPr>
        <w:spacing w:after="100"/>
      </w:pPr>
      <w:r>
        <w:t>The study compares three strategies on the same case inputs: sparse admission or selective retention, guard-only admission or rejection, and full-row retention. It records row decisions, retained cells, sidecar and total bundle bytes, typed mismatches, and three-run median end-to-end time. The timing includes analysis, migration, file writing and replay; strategies that reject different numbers of rows do different work.</w:t>
      </w:r>
    </w:p>
    <w:p>
      <w:pPr>
        <w:spacing w:after="100"/>
      </w:pPr>
      <w:r>
        <w:t>The real-history case uses the official 22 July 2021 Malaysian ICU CSV revision. The change removed vent_sari and renamed four beds_icu fields to bed_icu fields. The verifier pins both Git blobs and projected hashes, matches 7,315 unique date/state pairs, and checks that each post-change projection equals the specified forward mapping of its paired old row. The dropped value is nonzero on 4,060 old rows. The two tested pipeline definitions are experimental, not Ministry applications.</w:t>
      </w:r>
    </w:p>
    <w:p>
      <w:pPr>
        <w:spacing w:after="100"/>
      </w:pPr>
      <w:r>
        <w:t>The preserved pipeline filters on vent_covid &gt; 0 and selects date, state and a renamed bed count; it ignores vent_sari. The recovered pipeline applies the same filter and selects vent_sari. Ten injected changes over UCI Abalone, Iris and Red Wine Quality reuse 5,926 distinct source rows across 17,928 case-rows. Eight negative controls, four CSV parity checks, a two-row observed-drop collision and a limited NYC311 addition reenactment check separate failure paths and assumptions.</w:t>
      </w:r>
    </w:p>
    <w:p>
      <w:pPr>
        <w:pStyle w:val="Heading1"/>
        <w:keepNext/>
      </w:pPr>
      <w:r>
        <w:t>6 Results</w:t>
      </w:r>
    </w:p>
    <w:p>
      <w:pPr>
        <w:pStyle w:val="Heading2"/>
        <w:keepNext/>
      </w:pPr>
      <w:r>
        <w:t>6.1 Paired Malaysian ICU history</w:t>
      </w:r>
    </w:p>
    <w:tbl>
      <w:tblPr>
        <w:tblW w:type="auto" w:w="0"/>
        <w:jc w:val="center"/>
        <w:tblLayout w:type="fixed"/>
        <w:tblLook w:firstColumn="1" w:firstRow="1" w:lastColumn="0" w:lastRow="0" w:noHBand="0" w:noVBand="1" w:val="04A0"/>
      </w:tblPr>
      <w:tblGrid>
        <w:gridCol w:w="2891"/>
        <w:gridCol w:w="1361"/>
        <w:gridCol w:w="1361"/>
        <w:gridCol w:w="1587"/>
        <w:gridCol w:w="2154"/>
      </w:tblGrid>
      <w:tr>
        <w:trPr>
          <w:tblHeader w:val="true"/>
          <w:cantSplit/>
        </w:trPr>
        <w:tc>
          <w:tcPr>
            <w:tcW w:type="dxa" w:w="2891"/>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Pipeline and strategy</w:t>
            </w:r>
          </w:p>
        </w:tc>
        <w:tc>
          <w:tcPr>
            <w:tcW w:type="dxa" w:w="1361"/>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Accepted</w:t>
            </w:r>
          </w:p>
        </w:tc>
        <w:tc>
          <w:tcPr>
            <w:tcW w:type="dxa" w:w="1361"/>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Rejected</w:t>
            </w:r>
          </w:p>
        </w:tc>
        <w:tc>
          <w:tcPr>
            <w:tcW w:type="dxa" w:w="1587"/>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Old cells</w:t>
            </w:r>
          </w:p>
        </w:tc>
        <w:tc>
          <w:tcPr>
            <w:tcW w:type="dxa" w:w="2154"/>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Typed mismatch</w:t>
            </w:r>
          </w:p>
        </w:tc>
      </w:tr>
      <w:tr>
        <w:trPr>
          <w:cantSplit/>
        </w:trPr>
        <w:tc>
          <w:tcPr>
            <w:tcW w:type="dxa" w:w="289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Preserved sparse</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7,315</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1587"/>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215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r>
      <w:tr>
        <w:trPr>
          <w:cantSplit/>
        </w:trPr>
        <w:tc>
          <w:tcPr>
            <w:tcW w:type="dxa" w:w="289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Preserved full-row</w:t>
            </w:r>
          </w:p>
        </w:tc>
        <w:tc>
          <w:tcPr>
            <w:tcW w:type="dxa" w:w="136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7,315</w:t>
            </w:r>
          </w:p>
        </w:tc>
        <w:tc>
          <w:tcPr>
            <w:tcW w:type="dxa" w:w="136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1587"/>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36,575</w:t>
            </w:r>
          </w:p>
        </w:tc>
        <w:tc>
          <w:tcPr>
            <w:tcW w:type="dxa" w:w="2154"/>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r>
      <w:tr>
        <w:trPr>
          <w:cantSplit/>
        </w:trPr>
        <w:tc>
          <w:tcPr>
            <w:tcW w:type="dxa" w:w="289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Recovered sparse</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7,315</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1587"/>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4,025</w:t>
            </w:r>
          </w:p>
        </w:tc>
        <w:tc>
          <w:tcPr>
            <w:tcW w:type="dxa" w:w="215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r>
      <w:tr>
        <w:trPr>
          <w:cantSplit/>
        </w:trPr>
        <w:tc>
          <w:tcPr>
            <w:tcW w:type="dxa" w:w="289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Recovered guard-only</w:t>
            </w:r>
          </w:p>
        </w:tc>
        <w:tc>
          <w:tcPr>
            <w:tcW w:type="dxa" w:w="136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136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7,315</w:t>
            </w:r>
          </w:p>
        </w:tc>
        <w:tc>
          <w:tcPr>
            <w:tcW w:type="dxa" w:w="1587"/>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2154"/>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Not applicable</w:t>
            </w:r>
          </w:p>
        </w:tc>
      </w:tr>
      <w:tr>
        <w:trPr>
          <w:cantSplit/>
        </w:trPr>
        <w:tc>
          <w:tcPr>
            <w:tcW w:type="dxa" w:w="289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Recovered full-row</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7,315</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1587"/>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36,575</w:t>
            </w:r>
          </w:p>
        </w:tc>
        <w:tc>
          <w:tcPr>
            <w:tcW w:type="dxa" w:w="215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r>
    </w:tbl>
    <w:p/>
    <w:tbl>
      <w:tblPr>
        <w:tblW w:type="auto" w:w="0"/>
        <w:jc w:val="center"/>
        <w:tblLayout w:type="fixed"/>
        <w:tblLook w:firstColumn="1" w:firstRow="1" w:lastColumn="0" w:lastRow="0" w:noHBand="0" w:noVBand="1" w:val="04A0"/>
      </w:tblPr>
      <w:tblGrid>
        <w:gridCol w:w="2835"/>
        <w:gridCol w:w="2098"/>
        <w:gridCol w:w="2268"/>
        <w:gridCol w:w="2154"/>
      </w:tblGrid>
      <w:tr>
        <w:trPr>
          <w:tblHeader w:val="true"/>
          <w:cantSplit/>
        </w:trPr>
        <w:tc>
          <w:tcPr>
            <w:tcW w:type="dxa" w:w="2835"/>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Recovered strategy</w:t>
            </w:r>
          </w:p>
        </w:tc>
        <w:tc>
          <w:tcPr>
            <w:tcW w:type="dxa" w:w="2098"/>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Sidecar bytes</w:t>
            </w:r>
          </w:p>
        </w:tc>
        <w:tc>
          <w:tcPr>
            <w:tcW w:type="dxa" w:w="2268"/>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Total bundle bytes</w:t>
            </w:r>
          </w:p>
        </w:tc>
        <w:tc>
          <w:tcPr>
            <w:tcW w:type="dxa" w:w="2154"/>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Three-run median</w:t>
            </w:r>
          </w:p>
        </w:tc>
      </w:tr>
      <w:tr>
        <w:trPr>
          <w:cantSplit/>
        </w:trPr>
        <w:tc>
          <w:tcPr>
            <w:tcW w:type="dxa" w:w="2835"/>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Sparse terminal-aware</w:t>
            </w:r>
          </w:p>
        </w:tc>
        <w:tc>
          <w:tcPr>
            <w:tcW w:type="dxa" w:w="2098"/>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1,088,711</w:t>
            </w:r>
          </w:p>
        </w:tc>
        <w:tc>
          <w:tcPr>
            <w:tcW w:type="dxa" w:w="2268"/>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4,228,322</w:t>
            </w:r>
          </w:p>
        </w:tc>
        <w:tc>
          <w:tcPr>
            <w:tcW w:type="dxa" w:w="215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830 ms</w:t>
            </w:r>
          </w:p>
        </w:tc>
      </w:tr>
      <w:tr>
        <w:trPr>
          <w:cantSplit/>
        </w:trPr>
        <w:tc>
          <w:tcPr>
            <w:tcW w:type="dxa" w:w="2835"/>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Guard-only</w:t>
            </w:r>
          </w:p>
        </w:tc>
        <w:tc>
          <w:tcPr>
            <w:tcW w:type="dxa" w:w="2098"/>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2268"/>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861,957</w:t>
            </w:r>
          </w:p>
        </w:tc>
        <w:tc>
          <w:tcPr>
            <w:tcW w:type="dxa" w:w="2154"/>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179 ms</w:t>
            </w:r>
          </w:p>
        </w:tc>
      </w:tr>
      <w:tr>
        <w:trPr>
          <w:cantSplit/>
        </w:trPr>
        <w:tc>
          <w:tcPr>
            <w:tcW w:type="dxa" w:w="2835"/>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Full-row</w:t>
            </w:r>
          </w:p>
        </w:tc>
        <w:tc>
          <w:tcPr>
            <w:tcW w:type="dxa" w:w="2098"/>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1,728,544</w:t>
            </w:r>
          </w:p>
        </w:tc>
        <w:tc>
          <w:tcPr>
            <w:tcW w:type="dxa" w:w="2268"/>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4,868,160</w:t>
            </w:r>
          </w:p>
        </w:tc>
        <w:tc>
          <w:tcPr>
            <w:tcW w:type="dxa" w:w="215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885 ms</w:t>
            </w:r>
          </w:p>
        </w:tc>
      </w:tr>
    </w:tbl>
    <w:p/>
    <w:p>
      <w:pPr>
        <w:spacing w:after="100"/>
      </w:pPr>
      <w:r>
        <w:t>Sparse mode keeps vent_sari for the 4,025 emitted rows and no old cell for the 3,290 filtered rows. This is 45.0% fewer cells than the previous static sparse plan's 7,315 cells and 89.0% fewer than full-row retention's 36,575. Sidecar bytes decrease 4.6% against the previous sparse plan because empty recovered sidecars still hold row metadata; against full-row retention, sidecar bytes decrease 37.0% and total bundle bytes decrease 13.1%. Every accepted migrated row matched the actual post-change projection and every accepted typed observation matched replay. Guard-only rejects the whole recovered workload, so its small bundle and mismatch field are not preservation-coverage evidence.</w:t>
      </w:r>
    </w:p>
    <w:p>
      <w:r>
        <w:br w:type="page"/>
      </w:r>
    </w:p>
    <w:p>
      <w:pPr>
        <w:pStyle w:val="Heading2"/>
        <w:keepNext/>
      </w:pPr>
      <w:r>
        <w:t>6.2 Injected pilot</w:t>
      </w:r>
    </w:p>
    <w:tbl>
      <w:tblPr>
        <w:tblW w:type="auto" w:w="0"/>
        <w:jc w:val="center"/>
        <w:tblLayout w:type="fixed"/>
        <w:tblLook w:firstColumn="1" w:firstRow="1" w:lastColumn="0" w:lastRow="0" w:noHBand="0" w:noVBand="1" w:val="04A0"/>
      </w:tblPr>
      <w:tblGrid>
        <w:gridCol w:w="1814"/>
        <w:gridCol w:w="1361"/>
        <w:gridCol w:w="1474"/>
        <w:gridCol w:w="1361"/>
        <w:gridCol w:w="1361"/>
        <w:gridCol w:w="1984"/>
      </w:tblGrid>
      <w:tr>
        <w:trPr>
          <w:tblHeader w:val="true"/>
          <w:cantSplit/>
        </w:trPr>
        <w:tc>
          <w:tcPr>
            <w:tcW w:type="dxa" w:w="1814"/>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Strategy</w:t>
            </w:r>
          </w:p>
        </w:tc>
        <w:tc>
          <w:tcPr>
            <w:tcW w:type="dxa" w:w="1361"/>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Admitted</w:t>
            </w:r>
          </w:p>
        </w:tc>
        <w:tc>
          <w:tcPr>
            <w:tcW w:type="dxa" w:w="1474"/>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Recovered</w:t>
            </w:r>
          </w:p>
        </w:tc>
        <w:tc>
          <w:tcPr>
            <w:tcW w:type="dxa" w:w="1361"/>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Rejected</w:t>
            </w:r>
          </w:p>
        </w:tc>
        <w:tc>
          <w:tcPr>
            <w:tcW w:type="dxa" w:w="1361"/>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Old cells</w:t>
            </w:r>
          </w:p>
        </w:tc>
        <w:tc>
          <w:tcPr>
            <w:tcW w:type="dxa" w:w="1984"/>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Typed mismatch</w:t>
            </w:r>
          </w:p>
        </w:tc>
      </w:tr>
      <w:tr>
        <w:trPr>
          <w:cantSplit/>
        </w:trPr>
        <w:tc>
          <w:tcPr>
            <w:tcW w:type="dxa" w:w="181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Sparse</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10,379</w:t>
            </w:r>
          </w:p>
        </w:tc>
        <w:tc>
          <w:tcPr>
            <w:tcW w:type="dxa" w:w="147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7,549</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7,549</w:t>
            </w:r>
          </w:p>
        </w:tc>
        <w:tc>
          <w:tcPr>
            <w:tcW w:type="dxa" w:w="198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r>
      <w:tr>
        <w:trPr>
          <w:cantSplit/>
        </w:trPr>
        <w:tc>
          <w:tcPr>
            <w:tcW w:type="dxa" w:w="1814"/>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Guard-only</w:t>
            </w:r>
          </w:p>
        </w:tc>
        <w:tc>
          <w:tcPr>
            <w:tcW w:type="dxa" w:w="136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10,379</w:t>
            </w:r>
          </w:p>
        </w:tc>
        <w:tc>
          <w:tcPr>
            <w:tcW w:type="dxa" w:w="1474"/>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136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7,549</w:t>
            </w:r>
          </w:p>
        </w:tc>
        <w:tc>
          <w:tcPr>
            <w:tcW w:type="dxa" w:w="1361"/>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1984"/>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0 on admitted</w:t>
            </w:r>
          </w:p>
        </w:tc>
      </w:tr>
      <w:tr>
        <w:trPr>
          <w:cantSplit/>
        </w:trPr>
        <w:tc>
          <w:tcPr>
            <w:tcW w:type="dxa" w:w="181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Full-row</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147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17,928</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c>
          <w:tcPr>
            <w:tcW w:type="dxa" w:w="1361"/>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53,784</w:t>
            </w:r>
          </w:p>
        </w:tc>
        <w:tc>
          <w:tcPr>
            <w:tcW w:type="dxa" w:w="1984"/>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jc w:val="center"/>
            </w:pPr>
            <w:r>
              <w:rPr>
                <w:sz w:val="16"/>
              </w:rPr>
              <w:t>0</w:t>
            </w:r>
          </w:p>
        </w:tc>
      </w:tr>
    </w:tbl>
    <w:p/>
    <w:p>
      <w:pPr>
        <w:spacing w:after="100"/>
      </w:pPr>
      <w:r>
        <w:t>Strict-threshold guards admit 2,782 of 4,177 Abalone rows (66.6%), 99 of 150 Iris rows (66.0%), and 1,214 of 1,599 Red Wine rows (75.9%). Three numeric cases are record-lossy but pipeline-preserving without guard restriction. The pilot's zero mismatches are finite observations over reused rows; the scoped rule arguments support the universal claims within their stated domains.</w:t>
      </w:r>
    </w:p>
    <w:p>
      <w:pPr>
        <w:pStyle w:val="Heading1"/>
        <w:keepNext/>
      </w:pPr>
      <w:r>
        <w:t>7 Verification and supervisor demonstration</w:t>
      </w:r>
    </w:p>
    <w:p>
      <w:pPr>
        <w:spacing w:after="100"/>
      </w:pPr>
      <w:r>
        <w:t>The full suite passed 107 tests with Python 3.12.14 on Windows. New tests cover filtered versus emitted dropped projections, validation rejection, expression error, a selected field also read by an operation, and a failed guard on an inactive projection. Existing tests cover mixed field-level guard certificates and source-free replay. The artifact manifest hashes 128 source, data, case, result and documentation files; all listed hashes were rechecked after the revision.</w:t>
      </w:r>
    </w:p>
    <w:p>
      <w:pPr>
        <w:spacing w:after="100"/>
      </w:pPr>
      <w:r>
        <w:t>For a five-minute compiler walkthrough, show examples/optimization_students.vfl, then run the CLI tokens, ast, check, explain and bytecode commands and optimization_demo.py. This displays all three phases, an optimized 21-to-13 expression, generated VM instructions and the output CSV (Anika,88 and Mira, S,97; two written and one filtered). For a migration walkthrough, run impact-check, compile-evolved, migrate-run and replay-migration on the real ICU preserved and recovered pipelines. The presentation contains actual captured terminal output for these phases; the exact PowerShell commands are in docs/supervisor-demo-2026-10-30.md.</w:t>
      </w:r>
    </w:p>
    <w:p>
      <w:pPr>
        <w:spacing w:after="100"/>
      </w:pPr>
      <w:r>
        <w:t>Recommended live command order from the repository root: python -m veriflow tokens examples/optimization_students.vfl; python -m veriflow ast examples/optimization_students.vfl; python -m veriflow check examples/optimization_students.vfl; python -m veriflow explain examples/optimization_students.vfl; python -m veriflow bytecode examples/optimization_students.vfl; python optimization_demo.py. On this machine, use the bundled Python 3.12 runtime because the default python resolves to 3.11. The full study command is python -m evaluation.migration_study.</w:t>
      </w:r>
    </w:p>
    <w:p>
      <w:pPr>
        <w:pStyle w:val="Heading1"/>
        <w:keepNext/>
      </w:pPr>
      <w:r>
        <w:t>8 Claim boundary and next research step</w:t>
      </w:r>
    </w:p>
    <w:p>
      <w:pPr>
        <w:spacing w:after="100"/>
      </w:pPr>
      <w:r>
        <w:t>The method assumes a defined one-step mapping, well-typed legacy rows, deterministic row-wise operations, and migration-time access to old values for guards and retention. It excludes joins, aggregation, arbitrary user-defined functions and multi-step histories. Guard conjunction is sufficient but may retain more than necessary. The bundle's unkeyed digests detect accidental inconsistencies, not adversarial rewriting. The current compiled plan fills legacy VM registers rather than generating a textual new-schema .vfl program.</w:t>
      </w:r>
    </w:p>
    <w:p>
      <w:pPr>
        <w:spacing w:after="100"/>
      </w:pPr>
      <w:r>
        <w:t>The report is ready for a supervisor demonstration and a focused workshop or systems-demo draft. It is not yet a strong full-paper submission: one real schema event cannot establish generality, the two real-history pipelines were authored for this study, there is no direct rival-system baseline, and the proof should receive independent scrutiny. The next useful study is a second documented lossy before-and-after history plus a comparable baseline. Future-row certification requires an explicit preimage guarantee and is a separate research question; adding broad language constructs now would enlarge the proof burden without solving the evidence limit.</w:t>
      </w:r>
    </w:p>
    <w:p>
      <w:r>
        <w:br w:type="page"/>
      </w:r>
    </w:p>
    <w:p>
      <w:pPr>
        <w:pStyle w:val="Heading1"/>
        <w:keepNext/>
      </w:pPr>
      <w:r>
        <w:t>References</w:t>
      </w:r>
    </w:p>
    <w:p>
      <w:pPr>
        <w:spacing w:after="100"/>
      </w:pPr>
      <w:r>
        <w:t>Awiti, Wrembel and Zimányi. Repairing ETL Processes using Extended Relational Algebra. Foundations of Computing and Decision Sciences, 2025. https://reference-global.com/article/10.2478/fcds-2025-0006</w:t>
      </w:r>
    </w:p>
    <w:p>
      <w:pPr>
        <w:spacing w:after="100"/>
      </w:pPr>
      <w:r>
        <w:t>Kramer, Restat and Störl. Evolving Gracefully: Building Robust and Self-Adaptive Data Cleaning Pipelines for Schema Evolution and Uncertainty. QDB at VLDB, 2025. https://www.vldb.org/2025/Workshops/VLDB-Workshops-2025/QDB/QDB25_4.pdf</w:t>
      </w:r>
    </w:p>
    <w:p>
      <w:pPr>
        <w:spacing w:after="100"/>
      </w:pPr>
      <w:r>
        <w:t>Auge and Heuer. Enhanced Inversion of Schema Evolution with Provenance. 2022. https://arxiv.org/abs/2211.13810</w:t>
      </w:r>
    </w:p>
    <w:p>
      <w:pPr>
        <w:spacing w:after="100"/>
      </w:pPr>
      <w:r>
        <w:t>Ortín, Hoyos and García-Molina. A Model-Driven Approach to Database Migration with a Unified Data Model. 2026 preprint. https://arxiv.org/abs/2604.22415</w:t>
      </w:r>
    </w:p>
    <w:p>
      <w:pPr>
        <w:spacing w:after="100"/>
      </w:pPr>
      <w:r>
        <w:t>Zhang et al. EvoSchema: Towards Text-to-SQL Robustness Against Schema Evolution. PVLDB, 2025. https://www.vldb.org/pvldb/vol18/p3655-zhang.pdf</w:t>
      </w:r>
    </w:p>
    <w:p>
      <w:pPr>
        <w:spacing w:after="100"/>
      </w:pPr>
      <w:r>
        <w:t>Vassiliadis et al. Joint Source and Schema Evolution: Insights from a Study of 195 FOSS Projects. EDBT, 2023. https://openproceedings.org/2023/conf/edbt/paper-160.pdf</w:t>
      </w:r>
    </w:p>
    <w:p>
      <w:pPr>
        <w:spacing w:after="100"/>
      </w:pPr>
      <w:r>
        <w:t>Ministry of Health Malaysia. Official ICU schema-change commit, 22 July 2021. https://github.com/MoH-Malaysia/covid19-public/commit/4e80229047d796f14c7aac82910a3377277b699f</w:t>
      </w:r>
    </w:p>
    <w:p>
      <w:pPr>
        <w:spacing w:after="100"/>
      </w:pPr>
      <w:r>
        <w:t>UCI Machine Learning Repository. Abalone, Iris and Wine Quality datasets. https://archive.ics.uci.edu/</w:t>
      </w:r>
    </w:p>
    <w:p>
      <w:pPr>
        <w:pStyle w:val="Heading1"/>
        <w:keepNext/>
      </w:pPr>
      <w:r>
        <w:t>Appendix A Review artifacts</w:t>
      </w:r>
    </w:p>
    <w:p>
      <w:pPr>
        <w:spacing w:after="100"/>
      </w:pPr>
      <w:r>
        <w:t>The main source files for the compiler demonstration are veriflow/lexer.py, parser.py, semantics.py, ir.py, optimizer.py, vm.py and runtime.py. The migration execution is in veriflow/impact.py, evolved.py and migration.py. The exact demonstration sequence and expected output are in docs/supervisor-demo-2026-10-30.md; the 16-slide speaking script is in docs/presentation-speaker-notes-2026-10-30.md.</w:t>
      </w:r>
    </w:p>
    <w:tbl>
      <w:tblPr>
        <w:tblW w:type="auto" w:w="0"/>
        <w:jc w:val="center"/>
        <w:tblLayout w:type="fixed"/>
        <w:tblLook w:firstColumn="1" w:firstRow="1" w:lastColumn="0" w:lastRow="0" w:noHBand="0" w:noVBand="1" w:val="04A0"/>
      </w:tblPr>
      <w:tblGrid>
        <w:gridCol w:w="3969"/>
        <w:gridCol w:w="5386"/>
      </w:tblGrid>
      <w:tr>
        <w:trPr>
          <w:tblHeader w:val="true"/>
          <w:cantSplit/>
        </w:trPr>
        <w:tc>
          <w:tcPr>
            <w:tcW w:type="dxa" w:w="3969"/>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Artifact</w:t>
            </w:r>
          </w:p>
        </w:tc>
        <w:tc>
          <w:tcPr>
            <w:tcW w:type="dxa" w:w="5386"/>
            <w:shd w:fill="18304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b/>
                <w:color w:val="FFFFFF"/>
                <w:sz w:val="16"/>
              </w:rPr>
              <w:t>Purpose</w:t>
            </w:r>
          </w:p>
        </w:tc>
      </w:tr>
      <w:tr>
        <w:trPr>
          <w:cantSplit/>
        </w:trPr>
        <w:tc>
          <w:tcPr>
            <w:tcW w:type="dxa" w:w="3969"/>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evaluation/migration-results.json</w:t>
            </w:r>
          </w:p>
        </w:tc>
        <w:tc>
          <w:tcPr>
            <w:tcW w:type="dxa" w:w="5386"/>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Per-case, per-strategy counts, bytes and three-run timing medians</w:t>
            </w:r>
          </w:p>
        </w:tc>
      </w:tr>
      <w:tr>
        <w:trPr>
          <w:cantSplit/>
        </w:trPr>
        <w:tc>
          <w:tcPr>
            <w:tcW w:type="dxa" w:w="3969"/>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evaluation/artifact-manifest.json</w:t>
            </w:r>
          </w:p>
        </w:tc>
        <w:tc>
          <w:tcPr>
            <w:tcW w:type="dxa" w:w="5386"/>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Hashes of the frozen code, case, data, result and text evidence</w:t>
            </w:r>
          </w:p>
        </w:tc>
      </w:tr>
      <w:tr>
        <w:trPr>
          <w:cantSplit/>
        </w:trPr>
        <w:tc>
          <w:tcPr>
            <w:tcW w:type="dxa" w:w="3969"/>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docs/paper-manuscript-2026-10-28.md</w:t>
            </w:r>
          </w:p>
        </w:tc>
        <w:tc>
          <w:tcPr>
            <w:tcW w:type="dxa" w:w="5386"/>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Scoped method, rule arguments, comparisons and limitations</w:t>
            </w:r>
          </w:p>
        </w:tc>
      </w:tr>
      <w:tr>
        <w:trPr>
          <w:cantSplit/>
        </w:trPr>
        <w:tc>
          <w:tcPr>
            <w:tcW w:type="dxa" w:w="3969"/>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docs/VeriFlow-Research-Presentation-2026-10-30.pptx</w:t>
            </w:r>
          </w:p>
        </w:tc>
        <w:tc>
          <w:tcPr>
            <w:tcW w:type="dxa" w:w="5386"/>
            <w:shd w:fill="F0F5F7"/>
            <w:tcBorders>
              <w:top w:val="single" w:sz="4" w:color="D9D9D9"/>
              <w:left w:val="single" w:sz="4" w:color="D9D9D9"/>
              <w:bottom w:val="single" w:sz="4" w:color="D9D9D9"/>
              <w:right w:val="single" w:sz="4" w:color="D9D9D9"/>
            </w:tcBorders>
            <w:tcMar>
              <w:top w:w="90" w:type="dxa"/>
              <w:bottom w:w="90" w:type="dxa"/>
              <w:left w:w="100" w:type="dxa"/>
              <w:right w:w="100" w:type="dxa"/>
            </w:tcMar>
            <w:vAlign w:val="center"/>
          </w:tcPr>
          <w:p>
            <w:pPr>
              <w:spacing w:after="0"/>
            </w:pPr>
            <w:r>
              <w:rPr>
                <w:sz w:val="16"/>
              </w:rPr>
              <w:t>Supervisor slides with actual terminal-output captures</w:t>
            </w:r>
          </w:p>
        </w:tc>
      </w:tr>
    </w:tbl>
    <w:p/>
    <w:p>
      <w:pPr>
        <w:spacing w:after="100"/>
      </w:pPr>
      <w:r>
        <w:t>To audit the real history, run python -m evaluation.real_history.prepare_moh_icu from the repository root. Its normal offline mode verifies the included paired projections; --fetch regenerates them from pinned official commits when network access is available. Then run the full test suite and python -m evaluation.migration_study. Recompute the artifact manifest only after finalizing any changed evidence files.</w:t>
      </w:r>
    </w:p>
    <w:sectPr w:rsidR="00FC693F" w:rsidRPr="0006063C" w:rsidSect="00034616">
      <w:footerReference w:type="default" r:id="rId9"/>
      <w:pgSz w:w="11909" w:h="16834"/>
      <w:pgMar w:top="1037" w:right="1123" w:bottom="1051"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jc w:val="center"/>
    </w:pPr>
    <w:r>
      <w:rPr>
        <w:color w:val="5A636C"/>
        <w:sz w:val="16"/>
      </w:rPr>
      <w:t>VeriFlow  |  30 October 2026  |  Research implementation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Aptos" w:hAnsi="Aptos"/>
      <w:color w:val="191E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contextualSpacing/>
      <w:pBdr>
        <w:bottom w:val="nil"/>
      </w:pBdr>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yc.gov/311/nyc311-enhances-service-request-open-dataset.page" TargetMode="External"/><Relationship Id="rId11" Type="http://schemas.openxmlformats.org/officeDocument/2006/relationships/hyperlink" Target="https://alfa.im.pwr.edu.pl/~szwabin/assets/unst/lec/6.pdf" TargetMode="External"/><Relationship Id="rId12" Type="http://schemas.openxmlformats.org/officeDocument/2006/relationships/hyperlink" Target="https://github.com/Sai181006/VeriFlow/commit/66b86d73d4e0eebe52d376e4ba625dfcc81a5739" TargetMode="External"/><Relationship Id="rId13" Type="http://schemas.openxmlformats.org/officeDocument/2006/relationships/hyperlink" Target="https://github.com/Sai181006/VeriFlow/blob/66b86d7/docs/migration-method.md" TargetMode="External"/><Relationship Id="rId14" Type="http://schemas.openxmlformats.org/officeDocument/2006/relationships/hyperlink" Target="https://github.com/Sai181006/VeriFlow/blob/66b86d7/evaluation/README.md" TargetMode="External"/><Relationship Id="rId15" Type="http://schemas.openxmlformats.org/officeDocument/2006/relationships/hyperlink" Target="https://github.com/Sai181006/VeriFlow/blob/66b86d7/evaluation/migration-results.json" TargetMode="External"/><Relationship Id="rId16" Type="http://schemas.openxmlformats.org/officeDocument/2006/relationships/hyperlink" Target="https://github.com/Sai181006/VeriFlow/blob/66b86d7/evaluation/real_history/README.md" TargetMode="External"/><Relationship Id="rId17" Type="http://schemas.openxmlformats.org/officeDocument/2006/relationships/hyperlink" Target="https://www.vldb.org/2025/Workshops/VLDB-Workshops-2025/QDB/QDB25_4.pdf" TargetMode="External"/><Relationship Id="rId18" Type="http://schemas.openxmlformats.org/officeDocument/2006/relationships/hyperlink" Target="https://www.vldb.org/pvldb/vol18/p3655-zhang.pdf" TargetMode="External"/><Relationship Id="rId19" Type="http://schemas.openxmlformats.org/officeDocument/2006/relationships/hyperlink" Target="https://arxiv.org/abs/2211.138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VeriFlow Compiler and Schema Migration Research Report</dc:title>
  <dc:subject>Compiler implementation and schema migration evaluation</dc:subject>
  <dc:creator>Sai Mohita.C</dc:creator>
  <cp:keywords/>
  <dc:description>generated by python-docx</dc:description>
  <cp:lastModifiedBy/>
  <cp:revision>1</cp:revision>
  <dcterms:created xsi:type="dcterms:W3CDTF">2013-12-23T23:15:00Z</dcterms:created>
  <dcterms:modified xsi:type="dcterms:W3CDTF">2013-12-23T23:15:00Z</dcterms:modified>
  <cp:category/>
</cp:coreProperties>
</file>