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MASTER'S DEGREE PROJECT REPORT</w:t>
      </w:r>
    </w:p>
    <w:p>
      <w:pPr>
        <w:jc w:val="center"/>
      </w:pPr>
      <w:r>
        <w:t>DESIGN AND IMPLEMENTATION OF A CLOUD-BASED HEALTHCARE DATA PLATFORM MODERNIZATION</w:t>
      </w:r>
    </w:p>
    <w:p>
      <w:pPr>
        <w:jc w:val="center"/>
      </w:pPr>
      <w:r>
        <w:t>SQL Server to Databricks using Lakebridge, PySpark, Unity Catalog and Argo CronWorkflow</w:t>
      </w:r>
    </w:p>
    <w:p>
      <w:pPr>
        <w:jc w:val="center"/>
      </w:pPr>
      <w:r/>
    </w:p>
    <w:p>
      <w:pPr>
        <w:jc w:val="center"/>
      </w:pPr>
      <w:r>
        <w:t>Academic Demonstration Project using Synthetic Data</w:t>
      </w:r>
    </w:p>
    <w:p>
      <w:pPr>
        <w:jc w:val="center"/>
      </w:pPr>
      <w:r>
        <w:t>Prepared as a technical portfolio / Master's-level project document</w:t>
      </w:r>
    </w:p>
    <w:p>
      <w:pPr>
        <w:jc w:val="center"/>
      </w:pPr>
      <w:r/>
    </w:p>
    <w:p>
      <w:pPr>
        <w:jc w:val="center"/>
      </w:pPr>
      <w:r>
        <w:t>Author: ______________________________</w:t>
      </w:r>
    </w:p>
    <w:p>
      <w:pPr>
        <w:jc w:val="center"/>
      </w:pPr>
      <w:r>
        <w:t>Program / University: ______________________________</w:t>
      </w:r>
    </w:p>
    <w:p>
      <w:pPr>
        <w:jc w:val="center"/>
      </w:pPr>
      <w:r>
        <w:t>Academic Year: 2026</w:t>
      </w:r>
    </w:p>
    <w:p>
      <w:r>
        <w:br w:type="page"/>
      </w:r>
    </w:p>
    <w:p>
      <w:pPr>
        <w:pStyle w:val="Heading1"/>
      </w:pPr>
      <w:r>
        <w:t>Declaration</w:t>
      </w:r>
    </w:p>
    <w:p>
      <w:r>
        <w:t>I declare that this academic project document presents an independently reproducible demonstration of a healthcare data-platform modernization architecture using synthetic data. The implementation is designed to demonstrate data-engineering principles including SQL migration, distributed processing, data validation, governance, workflow orchestration, version control, and cloud-based delivery.</w:t>
      </w:r>
    </w:p>
    <w:p>
      <w:r>
        <w:t>No confidential client source code, production data, credentials, private URLs, or internal configuration is required for the implementation described in this report.</w:t>
      </w:r>
    </w:p>
    <w:p>
      <w:r>
        <w:br w:type="page"/>
      </w:r>
    </w:p>
    <w:p>
      <w:pPr>
        <w:pStyle w:val="Heading1"/>
      </w:pPr>
      <w:r>
        <w:t>Abstract</w:t>
      </w:r>
    </w:p>
    <w:p>
      <w:r>
        <w:t>Healthcare organizations generate large volumes of structured data that must be processed reliably for analytics, reporting, operational workflows, and downstream data consumers. Legacy SQL Server environments can become difficult to scale and maintain when workloads depend on tightly coupled database logic and traditional scheduling platforms. This project presents a practical modernization architecture that migrates representative SQL Server workloads to Databricks using synthetic healthcare data.</w:t>
      </w:r>
    </w:p>
    <w:p>
      <w:r>
        <w:t>The proposed implementation demonstrates an end-to-end migration lifecycle: analysis of legacy SQL logic, automated conversion using a migration accelerator, manual remediation of platform-specific constructs, implementation in Databricks SQL and PySpark, organization of target data through Unity Catalog, source-to-target reconciliation, and modernization of scheduled processing using Argo CronWorkflow. Git is used for version control and controlled deployment practices.</w:t>
      </w:r>
    </w:p>
    <w:p>
      <w:r>
        <w:t>The project emphasizes that successful migration is not merely a syntax-conversion exercise. Functional equivalence, data quality, governance, orchestration, operational reliability, and environment consistency must also be established. The resulting architecture demonstrates a repeatable pattern for modernizing legacy data-processing workloads while maintaining traceability and validation.</w:t>
      </w:r>
    </w:p>
    <w:p>
      <w:r>
        <w:t>Keywords: Databricks, SQL Server, SSMS, PySpark, Apache Spark, Lakebridge, Unity Catalog, Argo Workflows, CronWorkflow, ETL, data migration, data validation, reconciliation, healthcare analytics, Git.</w:t>
      </w:r>
    </w:p>
    <w:p>
      <w:pPr>
        <w:pStyle w:val="Heading1"/>
      </w:pPr>
      <w:r>
        <w:t>Table of Contents</w:t>
      </w:r>
    </w:p>
    <w:p>
      <w:r>
        <w:t>1. Introduction</w:t>
      </w:r>
    </w:p>
    <w:p>
      <w:r>
        <w:t>2. Problem Statement</w:t>
      </w:r>
    </w:p>
    <w:p>
      <w:r>
        <w:t>3. Aim and Objectives</w:t>
      </w:r>
    </w:p>
    <w:p>
      <w:r>
        <w:t>4. Scope and Assumptions</w:t>
      </w:r>
    </w:p>
    <w:p>
      <w:r>
        <w:t>5. Background and Technology Review</w:t>
      </w:r>
    </w:p>
    <w:p>
      <w:r>
        <w:t>6. Proposed Architecture</w:t>
      </w:r>
    </w:p>
    <w:p>
      <w:r>
        <w:t>7. Synthetic Healthcare Dataset Design</w:t>
      </w:r>
    </w:p>
    <w:p>
      <w:r>
        <w:t>8. Migration Methodology</w:t>
      </w:r>
    </w:p>
    <w:p>
      <w:r>
        <w:t>9. SQL Server to Databricks Implementation</w:t>
      </w:r>
    </w:p>
    <w:p>
      <w:r>
        <w:t>10. PIVOT and Advanced SQL Transformations</w:t>
      </w:r>
    </w:p>
    <w:p>
      <w:r>
        <w:t>11. PySpark Data Engineering Implementation</w:t>
      </w:r>
    </w:p>
    <w:p>
      <w:r>
        <w:t>12. Unity Catalog and Data Governance</w:t>
      </w:r>
    </w:p>
    <w:p>
      <w:r>
        <w:t>13. Data Validation and Reconciliation</w:t>
      </w:r>
    </w:p>
    <w:p>
      <w:r>
        <w:t>14. Workflow Orchestration with Argo CronWorkflow</w:t>
      </w:r>
    </w:p>
    <w:p>
      <w:r>
        <w:t>15. File Generation and S3/SFTP Delivery</w:t>
      </w:r>
    </w:p>
    <w:p>
      <w:r>
        <w:t>16. Git and Deployment Strategy</w:t>
      </w:r>
    </w:p>
    <w:p>
      <w:r>
        <w:t>17. Error Handling and Troubleshooting</w:t>
      </w:r>
    </w:p>
    <w:p>
      <w:r>
        <w:t>18. Security and Confidentiality</w:t>
      </w:r>
    </w:p>
    <w:p>
      <w:r>
        <w:t>19. Testing Strategy</w:t>
      </w:r>
    </w:p>
    <w:p>
      <w:r>
        <w:t>20. Results and Expected Outcomes</w:t>
      </w:r>
    </w:p>
    <w:p>
      <w:r>
        <w:t>21. Limitations</w:t>
      </w:r>
    </w:p>
    <w:p>
      <w:r>
        <w:t>22. Future Enhancements</w:t>
      </w:r>
    </w:p>
    <w:p>
      <w:r>
        <w:t>23. Conclusion</w:t>
      </w:r>
    </w:p>
    <w:p>
      <w:r>
        <w:t>24. Interview / Viva Preparation</w:t>
      </w:r>
    </w:p>
    <w:p>
      <w:r>
        <w:t>25. References and Appendix</w:t>
      </w:r>
    </w:p>
    <w:p>
      <w:r>
        <w:br w:type="page"/>
      </w:r>
    </w:p>
    <w:p>
      <w:pPr>
        <w:pStyle w:val="Heading1"/>
      </w:pPr>
      <w:r>
        <w:t>1. Introduction</w:t>
      </w:r>
    </w:p>
    <w:p>
      <w:r>
        <w:t>Data-platform modernization is the process of improving an existing data environment by moving from legacy technologies, tightly coupled processing models, or operationally difficult architectures to scalable and maintainable platforms. In healthcare, modernization is particularly important because analytical workloads can combine high data volume, complex business rules, sensitive information, frequent data refreshes, and multiple downstream consumers.</w:t>
      </w:r>
    </w:p>
    <w:p>
      <w:r>
        <w:t>This project models the modernization of a legacy SQL Server environment into Databricks. The source platform contains representative healthcare claims and provider data, SQL views, transformations, and scheduled processing. The target platform uses Databricks SQL and PySpark for processing, Unity Catalog for governance, Argo CronWorkflow for scheduling, and Git for source control.</w:t>
      </w:r>
    </w:p>
    <w:p>
      <w:r>
        <w:t>The project is intentionally implemented with synthetic data so that the technical architecture can be demonstrated publicly without exposing confidential information.</w:t>
      </w:r>
    </w:p>
    <w:p>
      <w:pPr>
        <w:pStyle w:val="Heading1"/>
      </w:pPr>
      <w:r>
        <w:t>2. Problem Statement</w:t>
      </w:r>
    </w:p>
    <w:p>
      <w:r>
        <w:t>A legacy SQL Server environment can contain complex views, stored procedures, joins, aggregations, PIVOT operations, database-specific functions, temporary objects, and scheduled file-processing jobs. Migrating these workloads to a cloud analytics platform introduces compatibility and data-quality challenges.</w:t>
      </w:r>
    </w:p>
    <w:p>
      <w:pPr>
        <w:pStyle w:val="ListBullet"/>
      </w:pPr>
      <w:r>
        <w:t>SQL Server-specific syntax may not have a direct target-platform equivalent.</w:t>
      </w:r>
    </w:p>
    <w:p>
      <w:pPr>
        <w:pStyle w:val="ListBullet"/>
      </w:pPr>
      <w:r>
        <w:t>Database/schema/table naming must be mapped to the target catalog structure.</w:t>
      </w:r>
    </w:p>
    <w:p>
      <w:pPr>
        <w:pStyle w:val="ListBullet"/>
      </w:pPr>
      <w:r>
        <w:t>Different data types and implicit-conversion behavior can produce subtle differences.</w:t>
      </w:r>
    </w:p>
    <w:p>
      <w:pPr>
        <w:pStyle w:val="ListBullet"/>
      </w:pPr>
      <w:r>
        <w:t>JOIN cardinality can change row counts after conversion.</w:t>
      </w:r>
    </w:p>
    <w:p>
      <w:pPr>
        <w:pStyle w:val="ListBullet"/>
      </w:pPr>
      <w:r>
        <w:t>PIVOT and aggregation logic can produce different results if input grain is not preserved.</w:t>
      </w:r>
    </w:p>
    <w:p>
      <w:pPr>
        <w:pStyle w:val="ListBullet"/>
      </w:pPr>
      <w:r>
        <w:t>Legacy schedulers must be translated into cloud-native workflow definitions.</w:t>
      </w:r>
    </w:p>
    <w:p>
      <w:pPr>
        <w:pStyle w:val="ListBullet"/>
      </w:pPr>
      <w:r>
        <w:t>File-generation and transfer steps must be made reliable and environment-aware.</w:t>
      </w:r>
    </w:p>
    <w:p>
      <w:pPr>
        <w:pStyle w:val="ListBullet"/>
      </w:pPr>
      <w:r>
        <w:t>A migration can execute successfully while still producing incorrect business results.</w:t>
      </w:r>
    </w:p>
    <w:p>
      <w:r>
        <w:t>Therefore, the project treats migration as an engineering lifecycle rather than a one-time code conversion.</w:t>
      </w:r>
    </w:p>
    <w:p>
      <w:pPr>
        <w:pStyle w:val="Heading1"/>
      </w:pPr>
      <w:r>
        <w:t>3. Aim and Objectives</w:t>
      </w:r>
    </w:p>
    <w:p>
      <w:r>
        <w:t>The primary aim is to design and demonstrate a repeatable architecture for migrating a representative healthcare data workload from SQL Server to Databricks while preserving data quality and operational behavior.</w:t>
      </w:r>
    </w:p>
    <w:p>
      <w:pPr>
        <w:pStyle w:val="ListNumber"/>
      </w:pPr>
      <w:r>
        <w:t>Design a synthetic healthcare dataset suitable for ETL and analytical processing.</w:t>
      </w:r>
    </w:p>
    <w:p>
      <w:pPr>
        <w:pStyle w:val="ListNumber"/>
      </w:pPr>
      <w:r>
        <w:t>Implement representative SQL Server views and transformations.</w:t>
      </w:r>
    </w:p>
    <w:p>
      <w:pPr>
        <w:pStyle w:val="ListNumber"/>
      </w:pPr>
      <w:r>
        <w:t>Demonstrate automated SQL conversion using a migration accelerator concept.</w:t>
      </w:r>
    </w:p>
    <w:p>
      <w:pPr>
        <w:pStyle w:val="ListNumber"/>
      </w:pPr>
      <w:r>
        <w:t>Perform manual remediation of incompatible SQL constructs.</w:t>
      </w:r>
    </w:p>
    <w:p>
      <w:pPr>
        <w:pStyle w:val="ListNumber"/>
      </w:pPr>
      <w:r>
        <w:t>Implement target transformations using Databricks SQL and PySpark.</w:t>
      </w:r>
    </w:p>
    <w:p>
      <w:pPr>
        <w:pStyle w:val="ListNumber"/>
      </w:pPr>
      <w:r>
        <w:t>Organize target objects using Unity Catalog conventions.</w:t>
      </w:r>
    </w:p>
    <w:p>
      <w:pPr>
        <w:pStyle w:val="ListNumber"/>
      </w:pPr>
      <w:r>
        <w:t>Implement systematic source-to-target validation and reconciliation.</w:t>
      </w:r>
    </w:p>
    <w:p>
      <w:pPr>
        <w:pStyle w:val="ListNumber"/>
      </w:pPr>
      <w:r>
        <w:t>Modernize scheduled processing using Argo CronWorkflow YAML.</w:t>
      </w:r>
    </w:p>
    <w:p>
      <w:pPr>
        <w:pStyle w:val="ListNumber"/>
      </w:pPr>
      <w:r>
        <w:t>Demonstrate file generation, archival, and downstream delivery patterns.</w:t>
      </w:r>
    </w:p>
    <w:p>
      <w:pPr>
        <w:pStyle w:val="ListNumber"/>
      </w:pPr>
      <w:r>
        <w:t>Use Git for version control and controlled promotion of changes.</w:t>
      </w:r>
    </w:p>
    <w:p>
      <w:pPr>
        <w:pStyle w:val="ListNumber"/>
      </w:pPr>
      <w:r>
        <w:t>Evaluate the architecture using functional, data-quality, and operational criteria.</w:t>
      </w:r>
    </w:p>
    <w:p>
      <w:pPr>
        <w:pStyle w:val="Heading1"/>
      </w:pPr>
      <w:r>
        <w:t>4. Scope and Assumptions</w:t>
      </w:r>
    </w:p>
    <w:p>
      <w:r>
        <w:t>The project is a Masters-level academic demonstration. It is not intended to reproduce a real client production environment exactly.</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sz w:val="17"/>
              </w:rPr>
              <w:t>Included</w:t>
            </w:r>
          </w:p>
        </w:tc>
        <w:tc>
          <w:tcPr>
            <w:tcW w:type="dxa" w:w="4896"/>
            <w:vAlign w:val="center"/>
          </w:tcPr>
          <w:p>
            <w:r>
              <w:rPr>
                <w:b/>
                <w:sz w:val="17"/>
              </w:rPr>
              <w:t>Excluded</w:t>
            </w:r>
          </w:p>
        </w:tc>
      </w:tr>
      <w:tr>
        <w:tc>
          <w:tcPr>
            <w:tcW w:type="dxa" w:w="4896"/>
            <w:vAlign w:val="center"/>
          </w:tcPr>
          <w:p>
            <w:r>
              <w:rPr>
                <w:sz w:val="17"/>
              </w:rPr>
              <w:t>Synthetic patient/claim/provider data</w:t>
            </w:r>
          </w:p>
        </w:tc>
        <w:tc>
          <w:tcPr>
            <w:tcW w:type="dxa" w:w="4896"/>
            <w:vAlign w:val="center"/>
          </w:tcPr>
          <w:p>
            <w:r>
              <w:rPr>
                <w:sz w:val="17"/>
              </w:rPr>
              <w:t>Real patient or client data</w:t>
            </w:r>
          </w:p>
        </w:tc>
      </w:tr>
      <w:tr>
        <w:tc>
          <w:tcPr>
            <w:tcW w:type="dxa" w:w="4896"/>
            <w:vAlign w:val="center"/>
          </w:tcPr>
          <w:p>
            <w:r>
              <w:rPr>
                <w:sz w:val="17"/>
              </w:rPr>
              <w:t>Representative SQL Server logic</w:t>
            </w:r>
          </w:p>
        </w:tc>
        <w:tc>
          <w:tcPr>
            <w:tcW w:type="dxa" w:w="4896"/>
            <w:vAlign w:val="center"/>
          </w:tcPr>
          <w:p>
            <w:r>
              <w:rPr>
                <w:sz w:val="17"/>
              </w:rPr>
              <w:t>Proprietary production SQL</w:t>
            </w:r>
          </w:p>
        </w:tc>
      </w:tr>
      <w:tr>
        <w:tc>
          <w:tcPr>
            <w:tcW w:type="dxa" w:w="4896"/>
            <w:vAlign w:val="center"/>
          </w:tcPr>
          <w:p>
            <w:r>
              <w:rPr>
                <w:sz w:val="17"/>
              </w:rPr>
              <w:t>Databricks SQL and PySpark</w:t>
            </w:r>
          </w:p>
        </w:tc>
        <w:tc>
          <w:tcPr>
            <w:tcW w:type="dxa" w:w="4896"/>
            <w:vAlign w:val="center"/>
          </w:tcPr>
          <w:p>
            <w:r>
              <w:rPr>
                <w:sz w:val="17"/>
              </w:rPr>
              <w:t>Client-specific infrastructure</w:t>
            </w:r>
          </w:p>
        </w:tc>
      </w:tr>
      <w:tr>
        <w:tc>
          <w:tcPr>
            <w:tcW w:type="dxa" w:w="4896"/>
            <w:vAlign w:val="center"/>
          </w:tcPr>
          <w:p>
            <w:r>
              <w:rPr>
                <w:sz w:val="17"/>
              </w:rPr>
              <w:t>Unity Catalog object model</w:t>
            </w:r>
          </w:p>
        </w:tc>
        <w:tc>
          <w:tcPr>
            <w:tcW w:type="dxa" w:w="4896"/>
            <w:vAlign w:val="center"/>
          </w:tcPr>
          <w:p>
            <w:r>
              <w:rPr>
                <w:sz w:val="17"/>
              </w:rPr>
              <w:t>Private production permissions</w:t>
            </w:r>
          </w:p>
        </w:tc>
      </w:tr>
      <w:tr>
        <w:tc>
          <w:tcPr>
            <w:tcW w:type="dxa" w:w="4896"/>
            <w:vAlign w:val="center"/>
          </w:tcPr>
          <w:p>
            <w:r>
              <w:rPr>
                <w:sz w:val="17"/>
              </w:rPr>
              <w:t>Argo CronWorkflow design</w:t>
            </w:r>
          </w:p>
        </w:tc>
        <w:tc>
          <w:tcPr>
            <w:tcW w:type="dxa" w:w="4896"/>
            <w:vAlign w:val="center"/>
          </w:tcPr>
          <w:p>
            <w:r>
              <w:rPr>
                <w:sz w:val="17"/>
              </w:rPr>
              <w:t>Production Kubernetes administration</w:t>
            </w:r>
          </w:p>
        </w:tc>
      </w:tr>
      <w:tr>
        <w:tc>
          <w:tcPr>
            <w:tcW w:type="dxa" w:w="4896"/>
            <w:vAlign w:val="center"/>
          </w:tcPr>
          <w:p>
            <w:r>
              <w:rPr>
                <w:sz w:val="17"/>
              </w:rPr>
              <w:t>Git workflow</w:t>
            </w:r>
          </w:p>
        </w:tc>
        <w:tc>
          <w:tcPr>
            <w:tcW w:type="dxa" w:w="4896"/>
            <w:vAlign w:val="center"/>
          </w:tcPr>
          <w:p>
            <w:r>
              <w:rPr>
                <w:sz w:val="17"/>
              </w:rPr>
              <w:t>Private repositories or credentials</w:t>
            </w:r>
          </w:p>
        </w:tc>
      </w:tr>
      <w:tr>
        <w:tc>
          <w:tcPr>
            <w:tcW w:type="dxa" w:w="4896"/>
            <w:vAlign w:val="center"/>
          </w:tcPr>
          <w:p>
            <w:r>
              <w:rPr>
                <w:sz w:val="17"/>
              </w:rPr>
              <w:t>S3/SFTP delivery pattern</w:t>
            </w:r>
          </w:p>
        </w:tc>
        <w:tc>
          <w:tcPr>
            <w:tcW w:type="dxa" w:w="4896"/>
            <w:vAlign w:val="center"/>
          </w:tcPr>
          <w:p>
            <w:r>
              <w:rPr>
                <w:sz w:val="17"/>
              </w:rPr>
              <w:t>Real production endpoints</w:t>
            </w:r>
          </w:p>
        </w:tc>
      </w:tr>
    </w:tbl>
    <w:p>
      <w:pPr>
        <w:pStyle w:val="Heading1"/>
      </w:pPr>
      <w:r>
        <w:t>5. Background and Technology Review</w:t>
      </w:r>
    </w:p>
    <w:p>
      <w:pPr>
        <w:pStyle w:val="Heading2"/>
      </w:pPr>
      <w:r>
        <w:t>5.1 SQL Server and SSMS</w:t>
      </w:r>
    </w:p>
    <w:p>
      <w:r>
        <w:t>SQL Server is a relational database management system. SSMS is a client application used to query and administer SQL Server. In this project, SQL Server represents the legacy data-processing environment and SSMS represents the development/administration interface.</w:t>
      </w:r>
    </w:p>
    <w:p>
      <w:pPr>
        <w:pStyle w:val="Heading2"/>
      </w:pPr>
      <w:r>
        <w:t>5.2 Databricks</w:t>
      </w:r>
    </w:p>
    <w:p>
      <w:r>
        <w:t>Databricks provides a unified environment for data engineering, SQL analytics, distributed Spark processing, notebooks, workflows, and governed data access. It serves as the target processing platform in this project.</w:t>
      </w:r>
    </w:p>
    <w:p>
      <w:pPr>
        <w:pStyle w:val="Heading2"/>
      </w:pPr>
      <w:r>
        <w:t>5.3 Apache Spark and PySpark</w:t>
      </w:r>
    </w:p>
    <w:p>
      <w:r>
        <w:t>Apache Spark is a distributed processing engine. PySpark provides Python APIs for DataFrame and Spark SQL operations, allowing large datasets to be transformed in parallel across a cluster.</w:t>
      </w:r>
    </w:p>
    <w:p>
      <w:pPr>
        <w:pStyle w:val="Heading2"/>
      </w:pPr>
      <w:r>
        <w:t>5.4 Unity Catalog</w:t>
      </w:r>
    </w:p>
    <w:p>
      <w:r>
        <w:t>Unity Catalog provides centralized data governance and namespace management. The project uses the three-level naming pattern catalog.schema.object.</w:t>
      </w:r>
    </w:p>
    <w:p>
      <w:pPr>
        <w:pStyle w:val="Heading2"/>
      </w:pPr>
      <w:r>
        <w:t>5.5 Lakebridge</w:t>
      </w:r>
    </w:p>
    <w:p>
      <w:r>
        <w:t>Lakebridge is treated in this project as a migration accelerator for translating legacy SQL workloads. Automated output is reviewed and remediated because conversion tooling cannot guarantee business equivalence for every platform-specific construct.</w:t>
      </w:r>
    </w:p>
    <w:p>
      <w:pPr>
        <w:pStyle w:val="Heading2"/>
      </w:pPr>
      <w:r>
        <w:t>5.6 Argo Workflows and CronWorkflow</w:t>
      </w:r>
    </w:p>
    <w:p>
      <w:r>
        <w:t>Argo Workflows provides Kubernetes-native workflow orchestration. CronWorkflow adds recurring schedule semantics to workflow definitions.</w:t>
      </w:r>
    </w:p>
    <w:p>
      <w:pPr>
        <w:pStyle w:val="Heading2"/>
      </w:pPr>
      <w:r>
        <w:t>5.7 Git</w:t>
      </w:r>
    </w:p>
    <w:p>
      <w:r>
        <w:t>Git provides source control, branch isolation, change history, collaboration, review, and controlled integration of code and configuration.</w:t>
      </w:r>
    </w:p>
    <w:p>
      <w:pPr>
        <w:pStyle w:val="Heading1"/>
      </w:pPr>
      <w:r>
        <w:t>6. Proposed Architecture</w:t>
      </w:r>
    </w:p>
    <w:p>
      <w:r>
        <w:drawing>
          <wp:inline xmlns:a="http://schemas.openxmlformats.org/drawingml/2006/main" xmlns:pic="http://schemas.openxmlformats.org/drawingml/2006/picture">
            <wp:extent cx="5943600" cy="3496644"/>
            <wp:docPr id="1" name="Picture 1"/>
            <wp:cNvGraphicFramePr>
              <a:graphicFrameLocks noChangeAspect="1"/>
            </wp:cNvGraphicFramePr>
            <a:graphic>
              <a:graphicData uri="http://schemas.openxmlformats.org/drawingml/2006/picture">
                <pic:pic>
                  <pic:nvPicPr>
                    <pic:cNvPr id="0" name="masters_project_architecture.png"/>
                    <pic:cNvPicPr/>
                  </pic:nvPicPr>
                  <pic:blipFill>
                    <a:blip r:embed="rId9"/>
                    <a:stretch>
                      <a:fillRect/>
                    </a:stretch>
                  </pic:blipFill>
                  <pic:spPr>
                    <a:xfrm>
                      <a:off x="0" y="0"/>
                      <a:ext cx="5943600" cy="3496644"/>
                    </a:xfrm>
                    <a:prstGeom prst="rect"/>
                  </pic:spPr>
                </pic:pic>
              </a:graphicData>
            </a:graphic>
          </wp:inline>
        </w:drawing>
      </w:r>
    </w:p>
    <w:p>
      <w:pPr>
        <w:pStyle w:val="CaptionCustom"/>
      </w:pPr>
      <w:r>
        <w:t>Figure 1. Proposed architecture for the synthetic healthcare data modernization project.</w:t>
      </w:r>
    </w:p>
    <w:p>
      <w:r>
        <w:t>The architecture separates source analysis, migration, processing, governance, validation, orchestration, and delivery. This separation makes failures easier to isolate and supports controlled migration.</w:t>
      </w:r>
    </w:p>
    <w:p>
      <w:pPr>
        <w:pStyle w:val="Heading2"/>
      </w:pPr>
      <w:r>
        <w:t>6.1 Architectural Flow</w:t>
      </w:r>
    </w:p>
    <w:p>
      <w:pPr>
        <w:pStyle w:val="ListNumber"/>
      </w:pPr>
      <w:r>
        <w:t>Synthetic source data is created in a SQL Server-compatible relational model.</w:t>
      </w:r>
    </w:p>
    <w:p>
      <w:pPr>
        <w:pStyle w:val="ListNumber"/>
      </w:pPr>
      <w:r>
        <w:t>Legacy views and transformation queries represent the source workload.</w:t>
      </w:r>
    </w:p>
    <w:p>
      <w:pPr>
        <w:pStyle w:val="ListNumber"/>
      </w:pPr>
      <w:r>
        <w:t>Lakebridge-style migration produces an initial Databricks-compatible SQL representation.</w:t>
      </w:r>
    </w:p>
    <w:p>
      <w:pPr>
        <w:pStyle w:val="ListNumber"/>
      </w:pPr>
      <w:r>
        <w:t>Manual remediation addresses incompatible functions, object references, data types, temporary constructs, and business rules.</w:t>
      </w:r>
    </w:p>
    <w:p>
      <w:pPr>
        <w:pStyle w:val="ListNumber"/>
      </w:pPr>
      <w:r>
        <w:t>Databricks SQL and PySpark implement the target transformations.</w:t>
      </w:r>
    </w:p>
    <w:p>
      <w:pPr>
        <w:pStyle w:val="ListNumber"/>
      </w:pPr>
      <w:r>
        <w:t>Unity Catalog provides target object naming and governance.</w:t>
      </w:r>
    </w:p>
    <w:p>
      <w:pPr>
        <w:pStyle w:val="ListNumber"/>
      </w:pPr>
      <w:r>
        <w:t>Validation jobs compare source and target metrics.</w:t>
      </w:r>
    </w:p>
    <w:p>
      <w:pPr>
        <w:pStyle w:val="ListNumber"/>
      </w:pPr>
      <w:r>
        <w:t>Argo CronWorkflow schedules processing and downstream delivery.</w:t>
      </w:r>
    </w:p>
    <w:p>
      <w:pPr>
        <w:pStyle w:val="ListNumber"/>
      </w:pPr>
      <w:r>
        <w:t>Git maintains versioned code and configuration.</w:t>
      </w:r>
    </w:p>
    <w:p>
      <w:pPr>
        <w:pStyle w:val="ListNumber"/>
      </w:pPr>
      <w:r>
        <w:t>Output files are generated and delivered through a synthetic S3/SFTP pattern.</w:t>
      </w:r>
    </w:p>
    <w:p>
      <w:pPr>
        <w:pStyle w:val="Heading1"/>
      </w:pPr>
      <w:r>
        <w:t>7. Synthetic Healthcare Dataset Design</w:t>
      </w:r>
    </w:p>
    <w:p>
      <w:r>
        <w:t>The dataset represents healthcare claims processing without containing real personally identifiable information. Identifiers are synthetic and are used only to demonstrate data engineering transformations.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7"/>
              </w:rPr>
              <w:t>Table</w:t>
            </w:r>
          </w:p>
        </w:tc>
        <w:tc>
          <w:tcPr>
            <w:tcW w:type="dxa" w:w="3264"/>
            <w:vAlign w:val="center"/>
          </w:tcPr>
          <w:p>
            <w:r>
              <w:rPr>
                <w:b/>
                <w:sz w:val="17"/>
              </w:rPr>
              <w:t>Important Columns</w:t>
            </w:r>
          </w:p>
        </w:tc>
        <w:tc>
          <w:tcPr>
            <w:tcW w:type="dxa" w:w="3264"/>
            <w:vAlign w:val="center"/>
          </w:tcPr>
          <w:p>
            <w:r>
              <w:rPr>
                <w:b/>
                <w:sz w:val="17"/>
              </w:rPr>
              <w:t>Purpose</w:t>
            </w:r>
          </w:p>
        </w:tc>
      </w:tr>
      <w:tr>
        <w:tc>
          <w:tcPr>
            <w:tcW w:type="dxa" w:w="3264"/>
            <w:vAlign w:val="center"/>
          </w:tcPr>
          <w:p>
            <w:r>
              <w:rPr>
                <w:sz w:val="17"/>
              </w:rPr>
              <w:t>patients</w:t>
            </w:r>
          </w:p>
        </w:tc>
        <w:tc>
          <w:tcPr>
            <w:tcW w:type="dxa" w:w="3264"/>
            <w:vAlign w:val="center"/>
          </w:tcPr>
          <w:p>
            <w:r>
              <w:rPr>
                <w:sz w:val="17"/>
              </w:rPr>
              <w:t>patient_id, birth_year, gender, state</w:t>
            </w:r>
          </w:p>
        </w:tc>
        <w:tc>
          <w:tcPr>
            <w:tcW w:type="dxa" w:w="3264"/>
            <w:vAlign w:val="center"/>
          </w:tcPr>
          <w:p>
            <w:r>
              <w:rPr>
                <w:sz w:val="17"/>
              </w:rPr>
              <w:t>Synthetic patient dimension</w:t>
            </w:r>
          </w:p>
        </w:tc>
      </w:tr>
      <w:tr>
        <w:tc>
          <w:tcPr>
            <w:tcW w:type="dxa" w:w="3264"/>
            <w:vAlign w:val="center"/>
          </w:tcPr>
          <w:p>
            <w:r>
              <w:rPr>
                <w:sz w:val="17"/>
              </w:rPr>
              <w:t>providers</w:t>
            </w:r>
          </w:p>
        </w:tc>
        <w:tc>
          <w:tcPr>
            <w:tcW w:type="dxa" w:w="3264"/>
            <w:vAlign w:val="center"/>
          </w:tcPr>
          <w:p>
            <w:r>
              <w:rPr>
                <w:sz w:val="17"/>
              </w:rPr>
              <w:t>provider_id, provider_name, specialty</w:t>
            </w:r>
          </w:p>
        </w:tc>
        <w:tc>
          <w:tcPr>
            <w:tcW w:type="dxa" w:w="3264"/>
            <w:vAlign w:val="center"/>
          </w:tcPr>
          <w:p>
            <w:r>
              <w:rPr>
                <w:sz w:val="17"/>
              </w:rPr>
              <w:t>Provider reference data</w:t>
            </w:r>
          </w:p>
        </w:tc>
      </w:tr>
      <w:tr>
        <w:tc>
          <w:tcPr>
            <w:tcW w:type="dxa" w:w="3264"/>
            <w:vAlign w:val="center"/>
          </w:tcPr>
          <w:p>
            <w:r>
              <w:rPr>
                <w:sz w:val="17"/>
              </w:rPr>
              <w:t>claims</w:t>
            </w:r>
          </w:p>
        </w:tc>
        <w:tc>
          <w:tcPr>
            <w:tcW w:type="dxa" w:w="3264"/>
            <w:vAlign w:val="center"/>
          </w:tcPr>
          <w:p>
            <w:r>
              <w:rPr>
                <w:sz w:val="17"/>
              </w:rPr>
              <w:t>claim_id, patient_id, provider_id, service_date, status, amount</w:t>
            </w:r>
          </w:p>
        </w:tc>
        <w:tc>
          <w:tcPr>
            <w:tcW w:type="dxa" w:w="3264"/>
            <w:vAlign w:val="center"/>
          </w:tcPr>
          <w:p>
            <w:r>
              <w:rPr>
                <w:sz w:val="17"/>
              </w:rPr>
              <w:t>Core transaction table</w:t>
            </w:r>
          </w:p>
        </w:tc>
      </w:tr>
      <w:tr>
        <w:tc>
          <w:tcPr>
            <w:tcW w:type="dxa" w:w="3264"/>
            <w:vAlign w:val="center"/>
          </w:tcPr>
          <w:p>
            <w:r>
              <w:rPr>
                <w:sz w:val="17"/>
              </w:rPr>
              <w:t>claim_metrics</w:t>
            </w:r>
          </w:p>
        </w:tc>
        <w:tc>
          <w:tcPr>
            <w:tcW w:type="dxa" w:w="3264"/>
            <w:vAlign w:val="center"/>
          </w:tcPr>
          <w:p>
            <w:r>
              <w:rPr>
                <w:sz w:val="17"/>
              </w:rPr>
              <w:t>claim_id, metric, value</w:t>
            </w:r>
          </w:p>
        </w:tc>
        <w:tc>
          <w:tcPr>
            <w:tcW w:type="dxa" w:w="3264"/>
            <w:vAlign w:val="center"/>
          </w:tcPr>
          <w:p>
            <w:r>
              <w:rPr>
                <w:sz w:val="17"/>
              </w:rPr>
              <w:t>Demonstrates PIVOT/conditional aggregation</w:t>
            </w:r>
          </w:p>
        </w:tc>
      </w:tr>
    </w:tbl>
    <w:p>
      <w:r>
        <w:t>A representative relationship is: one patient can have many claims, and one provider can service many claims. The project intentionally includes controlled duplicate and NULL scenarios in test data so that validation logic can be demonstrated.</w:t>
      </w:r>
    </w:p>
    <w:p>
      <w:pPr>
        <w:pStyle w:val="Heading2"/>
      </w:pPr>
      <w:r>
        <w:t>7.1 Example Synthetic Records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Pr>
                <w:b/>
                <w:sz w:val="17"/>
              </w:rPr>
              <w:t>patient_id</w:t>
            </w:r>
          </w:p>
        </w:tc>
        <w:tc>
          <w:tcPr>
            <w:tcW w:type="dxa" w:w="1632"/>
            <w:vAlign w:val="center"/>
          </w:tcPr>
          <w:p>
            <w:r>
              <w:rPr>
                <w:b/>
                <w:sz w:val="17"/>
              </w:rPr>
              <w:t>provider_id</w:t>
            </w:r>
          </w:p>
        </w:tc>
        <w:tc>
          <w:tcPr>
            <w:tcW w:type="dxa" w:w="1632"/>
            <w:vAlign w:val="center"/>
          </w:tcPr>
          <w:p>
            <w:r>
              <w:rPr>
                <w:b/>
                <w:sz w:val="17"/>
              </w:rPr>
              <w:t>claim_id</w:t>
            </w:r>
          </w:p>
        </w:tc>
        <w:tc>
          <w:tcPr>
            <w:tcW w:type="dxa" w:w="1632"/>
            <w:vAlign w:val="center"/>
          </w:tcPr>
          <w:p>
            <w:r>
              <w:rPr>
                <w:b/>
                <w:sz w:val="17"/>
              </w:rPr>
              <w:t>service_date</w:t>
            </w:r>
          </w:p>
        </w:tc>
        <w:tc>
          <w:tcPr>
            <w:tcW w:type="dxa" w:w="1632"/>
            <w:vAlign w:val="center"/>
          </w:tcPr>
          <w:p>
            <w:r>
              <w:rPr>
                <w:b/>
                <w:sz w:val="17"/>
              </w:rPr>
              <w:t>status</w:t>
            </w:r>
          </w:p>
        </w:tc>
        <w:tc>
          <w:tcPr>
            <w:tcW w:type="dxa" w:w="1632"/>
            <w:vAlign w:val="center"/>
          </w:tcPr>
          <w:p>
            <w:r>
              <w:rPr>
                <w:b/>
                <w:sz w:val="17"/>
              </w:rPr>
              <w:t>amount</w:t>
            </w:r>
          </w:p>
        </w:tc>
      </w:tr>
      <w:tr>
        <w:tc>
          <w:tcPr>
            <w:tcW w:type="dxa" w:w="1632"/>
            <w:vAlign w:val="center"/>
          </w:tcPr>
          <w:p>
            <w:r>
              <w:rPr>
                <w:sz w:val="17"/>
              </w:rPr>
              <w:t>P10001</w:t>
            </w:r>
          </w:p>
        </w:tc>
        <w:tc>
          <w:tcPr>
            <w:tcW w:type="dxa" w:w="1632"/>
            <w:vAlign w:val="center"/>
          </w:tcPr>
          <w:p>
            <w:r>
              <w:rPr>
                <w:sz w:val="17"/>
              </w:rPr>
              <w:t>PR001</w:t>
            </w:r>
          </w:p>
        </w:tc>
        <w:tc>
          <w:tcPr>
            <w:tcW w:type="dxa" w:w="1632"/>
            <w:vAlign w:val="center"/>
          </w:tcPr>
          <w:p>
            <w:r>
              <w:rPr>
                <w:sz w:val="17"/>
              </w:rPr>
              <w:t>C90001</w:t>
            </w:r>
          </w:p>
        </w:tc>
        <w:tc>
          <w:tcPr>
            <w:tcW w:type="dxa" w:w="1632"/>
            <w:vAlign w:val="center"/>
          </w:tcPr>
          <w:p>
            <w:r>
              <w:rPr>
                <w:sz w:val="17"/>
              </w:rPr>
              <w:t>2026-01-05</w:t>
            </w:r>
          </w:p>
        </w:tc>
        <w:tc>
          <w:tcPr>
            <w:tcW w:type="dxa" w:w="1632"/>
            <w:vAlign w:val="center"/>
          </w:tcPr>
          <w:p>
            <w:r>
              <w:rPr>
                <w:sz w:val="17"/>
              </w:rPr>
              <w:t>PAID</w:t>
            </w:r>
          </w:p>
        </w:tc>
        <w:tc>
          <w:tcPr>
            <w:tcW w:type="dxa" w:w="1632"/>
            <w:vAlign w:val="center"/>
          </w:tcPr>
          <w:p>
            <w:r>
              <w:rPr>
                <w:sz w:val="17"/>
              </w:rPr>
              <w:t>1250.00</w:t>
            </w:r>
          </w:p>
        </w:tc>
      </w:tr>
      <w:tr>
        <w:tc>
          <w:tcPr>
            <w:tcW w:type="dxa" w:w="1632"/>
            <w:vAlign w:val="center"/>
          </w:tcPr>
          <w:p>
            <w:r>
              <w:rPr>
                <w:sz w:val="17"/>
              </w:rPr>
              <w:t>P10002</w:t>
            </w:r>
          </w:p>
        </w:tc>
        <w:tc>
          <w:tcPr>
            <w:tcW w:type="dxa" w:w="1632"/>
            <w:vAlign w:val="center"/>
          </w:tcPr>
          <w:p>
            <w:r>
              <w:rPr>
                <w:sz w:val="17"/>
              </w:rPr>
              <w:t>PR002</w:t>
            </w:r>
          </w:p>
        </w:tc>
        <w:tc>
          <w:tcPr>
            <w:tcW w:type="dxa" w:w="1632"/>
            <w:vAlign w:val="center"/>
          </w:tcPr>
          <w:p>
            <w:r>
              <w:rPr>
                <w:sz w:val="17"/>
              </w:rPr>
              <w:t>C90002</w:t>
            </w:r>
          </w:p>
        </w:tc>
        <w:tc>
          <w:tcPr>
            <w:tcW w:type="dxa" w:w="1632"/>
            <w:vAlign w:val="center"/>
          </w:tcPr>
          <w:p>
            <w:r>
              <w:rPr>
                <w:sz w:val="17"/>
              </w:rPr>
              <w:t>2026-01-06</w:t>
            </w:r>
          </w:p>
        </w:tc>
        <w:tc>
          <w:tcPr>
            <w:tcW w:type="dxa" w:w="1632"/>
            <w:vAlign w:val="center"/>
          </w:tcPr>
          <w:p>
            <w:r>
              <w:rPr>
                <w:sz w:val="17"/>
              </w:rPr>
              <w:t>DENIED</w:t>
            </w:r>
          </w:p>
        </w:tc>
        <w:tc>
          <w:tcPr>
            <w:tcW w:type="dxa" w:w="1632"/>
            <w:vAlign w:val="center"/>
          </w:tcPr>
          <w:p>
            <w:r>
              <w:rPr>
                <w:sz w:val="17"/>
              </w:rPr>
              <w:t>820.00</w:t>
            </w:r>
          </w:p>
        </w:tc>
      </w:tr>
      <w:tr>
        <w:tc>
          <w:tcPr>
            <w:tcW w:type="dxa" w:w="1632"/>
            <w:vAlign w:val="center"/>
          </w:tcPr>
          <w:p>
            <w:r>
              <w:rPr>
                <w:sz w:val="17"/>
              </w:rPr>
              <w:t>P10003</w:t>
            </w:r>
          </w:p>
        </w:tc>
        <w:tc>
          <w:tcPr>
            <w:tcW w:type="dxa" w:w="1632"/>
            <w:vAlign w:val="center"/>
          </w:tcPr>
          <w:p>
            <w:r>
              <w:rPr>
                <w:sz w:val="17"/>
              </w:rPr>
              <w:t>PR001</w:t>
            </w:r>
          </w:p>
        </w:tc>
        <w:tc>
          <w:tcPr>
            <w:tcW w:type="dxa" w:w="1632"/>
            <w:vAlign w:val="center"/>
          </w:tcPr>
          <w:p>
            <w:r>
              <w:rPr>
                <w:sz w:val="17"/>
              </w:rPr>
              <w:t>C90003</w:t>
            </w:r>
          </w:p>
        </w:tc>
        <w:tc>
          <w:tcPr>
            <w:tcW w:type="dxa" w:w="1632"/>
            <w:vAlign w:val="center"/>
          </w:tcPr>
          <w:p>
            <w:r>
              <w:rPr>
                <w:sz w:val="17"/>
              </w:rPr>
              <w:t>2026-01-07</w:t>
            </w:r>
          </w:p>
        </w:tc>
        <w:tc>
          <w:tcPr>
            <w:tcW w:type="dxa" w:w="1632"/>
            <w:vAlign w:val="center"/>
          </w:tcPr>
          <w:p>
            <w:r>
              <w:rPr>
                <w:sz w:val="17"/>
              </w:rPr>
              <w:t>PAID</w:t>
            </w:r>
          </w:p>
        </w:tc>
        <w:tc>
          <w:tcPr>
            <w:tcW w:type="dxa" w:w="1632"/>
            <w:vAlign w:val="center"/>
          </w:tcPr>
          <w:p>
            <w:r>
              <w:rPr>
                <w:sz w:val="17"/>
              </w:rPr>
              <w:t>5400.00</w:t>
            </w:r>
          </w:p>
        </w:tc>
      </w:tr>
      <w:tr>
        <w:tc>
          <w:tcPr>
            <w:tcW w:type="dxa" w:w="1632"/>
            <w:vAlign w:val="center"/>
          </w:tcPr>
          <w:p>
            <w:r>
              <w:rPr>
                <w:sz w:val="17"/>
              </w:rPr>
              <w:t>P10004</w:t>
            </w:r>
          </w:p>
        </w:tc>
        <w:tc>
          <w:tcPr>
            <w:tcW w:type="dxa" w:w="1632"/>
            <w:vAlign w:val="center"/>
          </w:tcPr>
          <w:p>
            <w:r>
              <w:rPr>
                <w:sz w:val="17"/>
              </w:rPr>
              <w:t>PR003</w:t>
            </w:r>
          </w:p>
        </w:tc>
        <w:tc>
          <w:tcPr>
            <w:tcW w:type="dxa" w:w="1632"/>
            <w:vAlign w:val="center"/>
          </w:tcPr>
          <w:p>
            <w:r>
              <w:rPr>
                <w:sz w:val="17"/>
              </w:rPr>
              <w:t>C90004</w:t>
            </w:r>
          </w:p>
        </w:tc>
        <w:tc>
          <w:tcPr>
            <w:tcW w:type="dxa" w:w="1632"/>
            <w:vAlign w:val="center"/>
          </w:tcPr>
          <w:p>
            <w:r>
              <w:rPr>
                <w:sz w:val="17"/>
              </w:rPr>
              <w:t>2026-01-09</w:t>
            </w:r>
          </w:p>
        </w:tc>
        <w:tc>
          <w:tcPr>
            <w:tcW w:type="dxa" w:w="1632"/>
            <w:vAlign w:val="center"/>
          </w:tcPr>
          <w:p>
            <w:r>
              <w:rPr>
                <w:sz w:val="17"/>
              </w:rPr>
              <w:t>PENDING</w:t>
            </w:r>
          </w:p>
        </w:tc>
        <w:tc>
          <w:tcPr>
            <w:tcW w:type="dxa" w:w="1632"/>
            <w:vAlign w:val="center"/>
          </w:tcPr>
          <w:p>
            <w:r>
              <w:rPr>
                <w:sz w:val="17"/>
              </w:rPr>
              <w:t>2100.00</w:t>
            </w:r>
          </w:p>
        </w:tc>
      </w:tr>
    </w:tbl>
    <w:p>
      <w:pPr>
        <w:pStyle w:val="Heading1"/>
      </w:pPr>
      <w:r>
        <w:t>8. Migration Methodology</w:t>
      </w:r>
    </w:p>
    <w:p>
      <w:r>
        <w:t>The methodology follows a controlled migration lifecycle.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7"/>
              </w:rPr>
              <w:t>Phase</w:t>
            </w:r>
          </w:p>
        </w:tc>
        <w:tc>
          <w:tcPr>
            <w:tcW w:type="dxa" w:w="3264"/>
            <w:vAlign w:val="center"/>
          </w:tcPr>
          <w:p>
            <w:r>
              <w:rPr>
                <w:b/>
                <w:sz w:val="17"/>
              </w:rPr>
              <w:t>Activity</w:t>
            </w:r>
          </w:p>
        </w:tc>
        <w:tc>
          <w:tcPr>
            <w:tcW w:type="dxa" w:w="3264"/>
            <w:vAlign w:val="center"/>
          </w:tcPr>
          <w:p>
            <w:r>
              <w:rPr>
                <w:b/>
                <w:sz w:val="17"/>
              </w:rPr>
              <w:t>Output</w:t>
            </w:r>
          </w:p>
        </w:tc>
      </w:tr>
      <w:tr>
        <w:tc>
          <w:tcPr>
            <w:tcW w:type="dxa" w:w="3264"/>
            <w:vAlign w:val="center"/>
          </w:tcPr>
          <w:p>
            <w:r>
              <w:rPr>
                <w:sz w:val="17"/>
              </w:rPr>
              <w:t>Discovery</w:t>
            </w:r>
          </w:p>
        </w:tc>
        <w:tc>
          <w:tcPr>
            <w:tcW w:type="dxa" w:w="3264"/>
            <w:vAlign w:val="center"/>
          </w:tcPr>
          <w:p>
            <w:r>
              <w:rPr>
                <w:sz w:val="17"/>
              </w:rPr>
              <w:t>Review source objects and dependencies</w:t>
            </w:r>
          </w:p>
        </w:tc>
        <w:tc>
          <w:tcPr>
            <w:tcW w:type="dxa" w:w="3264"/>
            <w:vAlign w:val="center"/>
          </w:tcPr>
          <w:p>
            <w:r>
              <w:rPr>
                <w:sz w:val="17"/>
              </w:rPr>
              <w:t>Migration inventory</w:t>
            </w:r>
          </w:p>
        </w:tc>
      </w:tr>
      <w:tr>
        <w:tc>
          <w:tcPr>
            <w:tcW w:type="dxa" w:w="3264"/>
            <w:vAlign w:val="center"/>
          </w:tcPr>
          <w:p>
            <w:r>
              <w:rPr>
                <w:sz w:val="17"/>
              </w:rPr>
              <w:t>Conversion</w:t>
            </w:r>
          </w:p>
        </w:tc>
        <w:tc>
          <w:tcPr>
            <w:tcW w:type="dxa" w:w="3264"/>
            <w:vAlign w:val="center"/>
          </w:tcPr>
          <w:p>
            <w:r>
              <w:rPr>
                <w:sz w:val="17"/>
              </w:rPr>
              <w:t>Accelerated SQL translation</w:t>
            </w:r>
          </w:p>
        </w:tc>
        <w:tc>
          <w:tcPr>
            <w:tcW w:type="dxa" w:w="3264"/>
            <w:vAlign w:val="center"/>
          </w:tcPr>
          <w:p>
            <w:r>
              <w:rPr>
                <w:sz w:val="17"/>
              </w:rPr>
              <w:t>Initial target SQL</w:t>
            </w:r>
          </w:p>
        </w:tc>
      </w:tr>
      <w:tr>
        <w:tc>
          <w:tcPr>
            <w:tcW w:type="dxa" w:w="3264"/>
            <w:vAlign w:val="center"/>
          </w:tcPr>
          <w:p>
            <w:r>
              <w:rPr>
                <w:sz w:val="17"/>
              </w:rPr>
              <w:t>Remediation</w:t>
            </w:r>
          </w:p>
        </w:tc>
        <w:tc>
          <w:tcPr>
            <w:tcW w:type="dxa" w:w="3264"/>
            <w:vAlign w:val="center"/>
          </w:tcPr>
          <w:p>
            <w:r>
              <w:rPr>
                <w:sz w:val="17"/>
              </w:rPr>
              <w:t>Fix incompatible constructs</w:t>
            </w:r>
          </w:p>
        </w:tc>
        <w:tc>
          <w:tcPr>
            <w:tcW w:type="dxa" w:w="3264"/>
            <w:vAlign w:val="center"/>
          </w:tcPr>
          <w:p>
            <w:r>
              <w:rPr>
                <w:sz w:val="17"/>
              </w:rPr>
              <w:t>Target-compatible logic</w:t>
            </w:r>
          </w:p>
        </w:tc>
      </w:tr>
      <w:tr>
        <w:tc>
          <w:tcPr>
            <w:tcW w:type="dxa" w:w="3264"/>
            <w:vAlign w:val="center"/>
          </w:tcPr>
          <w:p>
            <w:r>
              <w:rPr>
                <w:sz w:val="17"/>
              </w:rPr>
              <w:t>Implementation</w:t>
            </w:r>
          </w:p>
        </w:tc>
        <w:tc>
          <w:tcPr>
            <w:tcW w:type="dxa" w:w="3264"/>
            <w:vAlign w:val="center"/>
          </w:tcPr>
          <w:p>
            <w:r>
              <w:rPr>
                <w:sz w:val="17"/>
              </w:rPr>
              <w:t>Deploy SQL/PySpark</w:t>
            </w:r>
          </w:p>
        </w:tc>
        <w:tc>
          <w:tcPr>
            <w:tcW w:type="dxa" w:w="3264"/>
            <w:vAlign w:val="center"/>
          </w:tcPr>
          <w:p>
            <w:r>
              <w:rPr>
                <w:sz w:val="17"/>
              </w:rPr>
              <w:t>Databricks objects</w:t>
            </w:r>
          </w:p>
        </w:tc>
      </w:tr>
      <w:tr>
        <w:tc>
          <w:tcPr>
            <w:tcW w:type="dxa" w:w="3264"/>
            <w:vAlign w:val="center"/>
          </w:tcPr>
          <w:p>
            <w:r>
              <w:rPr>
                <w:sz w:val="17"/>
              </w:rPr>
              <w:t>Validation</w:t>
            </w:r>
          </w:p>
        </w:tc>
        <w:tc>
          <w:tcPr>
            <w:tcW w:type="dxa" w:w="3264"/>
            <w:vAlign w:val="center"/>
          </w:tcPr>
          <w:p>
            <w:r>
              <w:rPr>
                <w:sz w:val="17"/>
              </w:rPr>
              <w:t>Compare source and target</w:t>
            </w:r>
          </w:p>
        </w:tc>
        <w:tc>
          <w:tcPr>
            <w:tcW w:type="dxa" w:w="3264"/>
            <w:vAlign w:val="center"/>
          </w:tcPr>
          <w:p>
            <w:r>
              <w:rPr>
                <w:sz w:val="17"/>
              </w:rPr>
              <w:t>Reconciliation report</w:t>
            </w:r>
          </w:p>
        </w:tc>
      </w:tr>
      <w:tr>
        <w:tc>
          <w:tcPr>
            <w:tcW w:type="dxa" w:w="3264"/>
            <w:vAlign w:val="center"/>
          </w:tcPr>
          <w:p>
            <w:r>
              <w:rPr>
                <w:sz w:val="17"/>
              </w:rPr>
              <w:t>Orchestration</w:t>
            </w:r>
          </w:p>
        </w:tc>
        <w:tc>
          <w:tcPr>
            <w:tcW w:type="dxa" w:w="3264"/>
            <w:vAlign w:val="center"/>
          </w:tcPr>
          <w:p>
            <w:r>
              <w:rPr>
                <w:sz w:val="17"/>
              </w:rPr>
              <w:t>Configure scheduled workflows</w:t>
            </w:r>
          </w:p>
        </w:tc>
        <w:tc>
          <w:tcPr>
            <w:tcW w:type="dxa" w:w="3264"/>
            <w:vAlign w:val="center"/>
          </w:tcPr>
          <w:p>
            <w:r>
              <w:rPr>
                <w:sz w:val="17"/>
              </w:rPr>
              <w:t>Argo CronWorkflow</w:t>
            </w:r>
          </w:p>
        </w:tc>
      </w:tr>
      <w:tr>
        <w:tc>
          <w:tcPr>
            <w:tcW w:type="dxa" w:w="3264"/>
            <w:vAlign w:val="center"/>
          </w:tcPr>
          <w:p>
            <w:r>
              <w:rPr>
                <w:sz w:val="17"/>
              </w:rPr>
              <w:t>Testing</w:t>
            </w:r>
          </w:p>
        </w:tc>
        <w:tc>
          <w:tcPr>
            <w:tcW w:type="dxa" w:w="3264"/>
            <w:vAlign w:val="center"/>
          </w:tcPr>
          <w:p>
            <w:r>
              <w:rPr>
                <w:sz w:val="17"/>
              </w:rPr>
              <w:t>Functional and operational checks</w:t>
            </w:r>
          </w:p>
        </w:tc>
        <w:tc>
          <w:tcPr>
            <w:tcW w:type="dxa" w:w="3264"/>
            <w:vAlign w:val="center"/>
          </w:tcPr>
          <w:p>
            <w:r>
              <w:rPr>
                <w:sz w:val="17"/>
              </w:rPr>
              <w:t>Test evidence</w:t>
            </w:r>
          </w:p>
        </w:tc>
      </w:tr>
      <w:tr>
        <w:tc>
          <w:tcPr>
            <w:tcW w:type="dxa" w:w="3264"/>
            <w:vAlign w:val="center"/>
          </w:tcPr>
          <w:p>
            <w:r>
              <w:rPr>
                <w:sz w:val="17"/>
              </w:rPr>
              <w:t>Deployment</w:t>
            </w:r>
          </w:p>
        </w:tc>
        <w:tc>
          <w:tcPr>
            <w:tcW w:type="dxa" w:w="3264"/>
            <w:vAlign w:val="center"/>
          </w:tcPr>
          <w:p>
            <w:r>
              <w:rPr>
                <w:sz w:val="17"/>
              </w:rPr>
              <w:t>Version-controlled promotion</w:t>
            </w:r>
          </w:p>
        </w:tc>
        <w:tc>
          <w:tcPr>
            <w:tcW w:type="dxa" w:w="3264"/>
            <w:vAlign w:val="center"/>
          </w:tcPr>
          <w:p>
            <w:r>
              <w:rPr>
                <w:sz w:val="17"/>
              </w:rPr>
              <w:t>Release candidate</w:t>
            </w:r>
          </w:p>
        </w:tc>
      </w:tr>
      <w:tr>
        <w:tc>
          <w:tcPr>
            <w:tcW w:type="dxa" w:w="3264"/>
            <w:vAlign w:val="center"/>
          </w:tcPr>
          <w:p>
            <w:r>
              <w:rPr>
                <w:sz w:val="17"/>
              </w:rPr>
              <w:t>Monitoring</w:t>
            </w:r>
          </w:p>
        </w:tc>
        <w:tc>
          <w:tcPr>
            <w:tcW w:type="dxa" w:w="3264"/>
            <w:vAlign w:val="center"/>
          </w:tcPr>
          <w:p>
            <w:r>
              <w:rPr>
                <w:sz w:val="17"/>
              </w:rPr>
              <w:t>Observe execution and outputs</w:t>
            </w:r>
          </w:p>
        </w:tc>
        <w:tc>
          <w:tcPr>
            <w:tcW w:type="dxa" w:w="3264"/>
            <w:vAlign w:val="center"/>
          </w:tcPr>
          <w:p>
            <w:r>
              <w:rPr>
                <w:sz w:val="17"/>
              </w:rPr>
              <w:t>Operational status</w:t>
            </w:r>
          </w:p>
        </w:tc>
      </w:tr>
    </w:tbl>
    <w:p>
      <w:pPr>
        <w:pStyle w:val="Heading1"/>
      </w:pPr>
      <w:r>
        <w:t>9. SQL Server to Databricks Implementation</w:t>
      </w:r>
    </w:p>
    <w:p>
      <w:pPr>
        <w:pStyle w:val="Heading2"/>
      </w:pPr>
      <w:r>
        <w:t>9.1 Legacy View</w:t>
      </w:r>
    </w:p>
    <w:p>
      <w:pPr>
        <w:pStyle w:val="Code"/>
      </w:pPr>
      <w:r>
        <w:t>CREATE VIEW dbo.v_paid_claims AS</w:t>
        <w:br/>
        <w:t>SELECT</w:t>
        <w:br/>
        <w:t xml:space="preserve">    c.claim_id,</w:t>
        <w:br/>
        <w:t xml:space="preserve">    c.patient_id,</w:t>
        <w:br/>
        <w:t xml:space="preserve">    c.provider_id,</w:t>
        <w:br/>
        <w:t xml:space="preserve">    c.service_date,</w:t>
        <w:br/>
        <w:t xml:space="preserve">    c.amount,</w:t>
        <w:br/>
        <w:t xml:space="preserve">    CASE</w:t>
        <w:br/>
        <w:t xml:space="preserve">        WHEN c.amount &gt;= 5000 THEN 'HIGH'</w:t>
        <w:br/>
        <w:t xml:space="preserve">        ELSE 'STANDARD'</w:t>
        <w:br/>
        <w:t xml:space="preserve">    END AS claim_band</w:t>
        <w:br/>
        <w:t>FROM claims c</w:t>
        <w:br/>
        <w:t>WHERE c.status = 'PAID';</w:t>
      </w:r>
    </w:p>
    <w:p>
      <w:pPr>
        <w:pStyle w:val="Heading2"/>
      </w:pPr>
      <w:r>
        <w:t>9.2 Databricks SQL Representation</w:t>
      </w:r>
    </w:p>
    <w:p>
      <w:pPr>
        <w:pStyle w:val="Code"/>
      </w:pPr>
      <w:r>
        <w:t>CREATE OR REPLACE VIEW healthcare_dev.analytics.v_paid_claims AS</w:t>
        <w:br/>
        <w:t>SELECT</w:t>
        <w:br/>
        <w:t xml:space="preserve">    claim_id,</w:t>
        <w:br/>
        <w:t xml:space="preserve">    patient_id,</w:t>
        <w:br/>
        <w:t xml:space="preserve">    provider_id,</w:t>
        <w:br/>
        <w:t xml:space="preserve">    service_date,</w:t>
        <w:br/>
        <w:t xml:space="preserve">    amount,</w:t>
        <w:br/>
        <w:t xml:space="preserve">    CASE</w:t>
        <w:br/>
        <w:t xml:space="preserve">        WHEN amount &gt;= 5000 THEN 'HIGH'</w:t>
        <w:br/>
        <w:t xml:space="preserve">        ELSE 'STANDARD'</w:t>
        <w:br/>
        <w:t xml:space="preserve">    END AS claim_band</w:t>
        <w:br/>
        <w:t>FROM healthcare_dev.raw.claims</w:t>
        <w:br/>
        <w:t>WHERE status = 'PAID';</w:t>
      </w:r>
    </w:p>
    <w:p>
      <w:r>
        <w:t>The important change is not only SQL syntax. The source object namespace is mapped into the target catalog/schema structure and the resulting data is validated.</w:t>
      </w:r>
    </w:p>
    <w:p>
      <w:pPr>
        <w:pStyle w:val="Heading1"/>
      </w:pPr>
      <w:r>
        <w:t>10. PIVOT and Advanced SQL Transformations</w:t>
      </w:r>
    </w:p>
    <w:p>
      <w:r>
        <w:t>Healthcare reporting frequently requires a long-to-wide transformation. The synthetic project uses claim metrics to demonstrate PIVOT.</w:t>
      </w:r>
    </w:p>
    <w:p>
      <w:pPr>
        <w:pStyle w:val="Code"/>
      </w:pPr>
      <w:r>
        <w:t>SELECT</w:t>
        <w:br/>
        <w:t xml:space="preserve">    provider_id,</w:t>
        <w:br/>
        <w:t xml:space="preserve">    SUM(CASE WHEN metric = 'PAID'</w:t>
        <w:br/>
        <w:t xml:space="preserve">             THEN value ELSE 0 END) AS paid,</w:t>
        <w:br/>
        <w:t xml:space="preserve">    SUM(CASE WHEN metric = 'ALLOWED'</w:t>
        <w:br/>
        <w:t xml:space="preserve">             THEN value ELSE 0 END) AS allowed</w:t>
        <w:br/>
        <w:t>FROM claim_metrics</w:t>
        <w:br/>
        <w:t>GROUP BY provider_id;</w:t>
      </w:r>
    </w:p>
    <w:p>
      <w:r>
        <w:t>The same business outcome can be represented using an engine-supported PIVOT construct. During migration, the pre-pivot grain and aggregation must be preserved.</w:t>
      </w:r>
    </w:p>
    <w:p>
      <w:pPr>
        <w:pStyle w:val="Heading2"/>
      </w:pPr>
      <w:r>
        <w:t>10.1 Why PIVOT Can Cause Migration Issues</w:t>
      </w:r>
    </w:p>
    <w:p>
      <w:pPr>
        <w:pStyle w:val="ListBullet"/>
      </w:pPr>
      <w:r>
        <w:t>The target engine may use different PIVOT syntax.</w:t>
      </w:r>
    </w:p>
    <w:p>
      <w:pPr>
        <w:pStyle w:val="ListBullet"/>
      </w:pPr>
      <w:r>
        <w:t>The list of pivot columns may need to be explicit.</w:t>
      </w:r>
    </w:p>
    <w:p>
      <w:pPr>
        <w:pStyle w:val="ListBullet"/>
      </w:pPr>
      <w:r>
        <w:t>Input duplicates can alter aggregation results.</w:t>
      </w:r>
    </w:p>
    <w:p>
      <w:pPr>
        <w:pStyle w:val="ListBullet"/>
      </w:pPr>
      <w:r>
        <w:t>NULL values may behave differently.</w:t>
      </w:r>
    </w:p>
    <w:p>
      <w:pPr>
        <w:pStyle w:val="ListBullet"/>
      </w:pPr>
      <w:r>
        <w:t>The aggregation function must remain equivalent.</w:t>
      </w:r>
    </w:p>
    <w:p>
      <w:pPr>
        <w:pStyle w:val="ListBullet"/>
      </w:pPr>
      <w:r>
        <w:t>A different input grain can create unexpected output.</w:t>
      </w:r>
    </w:p>
    <w:p>
      <w:pPr>
        <w:pStyle w:val="Heading1"/>
      </w:pPr>
      <w:r>
        <w:t>11. PySpark Data Engineering Implementation</w:t>
      </w:r>
    </w:p>
    <w:p>
      <w:pPr>
        <w:pStyle w:val="Code"/>
      </w:pPr>
      <w:r>
        <w:t>from pyspark.sql import functions as F</w:t>
        <w:br/>
        <w:br/>
        <w:t>claims = spark.table("healthcare_dev.raw.claims")</w:t>
        <w:br/>
        <w:br/>
        <w:t>paid_summary = (</w:t>
        <w:br/>
        <w:t xml:space="preserve">    claims</w:t>
        <w:br/>
        <w:t xml:space="preserve">    .filter(F.col("status") == "PAID")</w:t>
        <w:br/>
        <w:t xml:space="preserve">    .groupBy("provider_id")</w:t>
        <w:br/>
        <w:t xml:space="preserve">    .agg(</w:t>
        <w:br/>
        <w:t xml:space="preserve">        F.countDistinct("claim_id").alias("claim_count"),</w:t>
        <w:br/>
        <w:t xml:space="preserve">        F.sum("amount").alias("total_paid")</w:t>
        <w:br/>
        <w:t xml:space="preserve">    )</w:t>
        <w:br/>
        <w:t>)</w:t>
      </w:r>
    </w:p>
    <w:p>
      <w:pPr>
        <w:pStyle w:val="Heading2"/>
      </w:pPr>
      <w:r>
        <w:t>11.1 DataFrame Operations</w:t>
      </w:r>
    </w:p>
    <w:p>
      <w:pPr>
        <w:pStyle w:val="ListBullet"/>
      </w:pPr>
      <w:r>
        <w:t>filter: removes rows that do not meet a condition.</w:t>
      </w:r>
    </w:p>
    <w:p>
      <w:pPr>
        <w:pStyle w:val="ListBullet"/>
      </w:pPr>
      <w:r>
        <w:t>select: projects required columns.</w:t>
      </w:r>
    </w:p>
    <w:p>
      <w:pPr>
        <w:pStyle w:val="ListBullet"/>
      </w:pPr>
      <w:r>
        <w:t>withColumn: creates or replaces a column.</w:t>
      </w:r>
    </w:p>
    <w:p>
      <w:pPr>
        <w:pStyle w:val="ListBullet"/>
      </w:pPr>
      <w:r>
        <w:t>join: combines related datasets.</w:t>
      </w:r>
    </w:p>
    <w:p>
      <w:pPr>
        <w:pStyle w:val="ListBullet"/>
      </w:pPr>
      <w:r>
        <w:t>groupBy/agg: performs grouped aggregations.</w:t>
      </w:r>
    </w:p>
    <w:p>
      <w:pPr>
        <w:pStyle w:val="ListBullet"/>
      </w:pPr>
      <w:r>
        <w:t>dropDuplicates: removes duplicate rows based on selected columns.</w:t>
      </w:r>
    </w:p>
    <w:p>
      <w:pPr>
        <w:pStyle w:val="Heading2"/>
      </w:pPr>
      <w:r>
        <w:t>11.2 Lazy Evaluation</w:t>
      </w:r>
    </w:p>
    <w:p>
      <w:r>
        <w:t>Spark transformations build a logical execution plan. Execution generally begins when an action such as count(), write(), show(), or collect() requires a result. This allows Spark to optimize the execution plan before processing data.</w:t>
      </w:r>
    </w:p>
    <w:p>
      <w:pPr>
        <w:pStyle w:val="Heading1"/>
      </w:pPr>
      <w:r>
        <w:t>12. Unity Catalog and Data Governance</w:t>
      </w:r>
    </w:p>
    <w:p>
      <w:r>
        <w:t>The target namespace follows a three-level structure:</w:t>
      </w:r>
    </w:p>
    <w:p>
      <w:pPr>
        <w:pStyle w:val="Code"/>
      </w:pPr>
      <w:r>
        <w:t>catalog.schema.object</w:t>
      </w:r>
    </w:p>
    <w:p>
      <w:r>
        <w:t>Example:</w:t>
      </w:r>
    </w:p>
    <w:p>
      <w:pPr>
        <w:pStyle w:val="Code"/>
      </w:pPr>
      <w:r>
        <w:t>healthcare_dev.raw.claims</w:t>
        <w:br/>
        <w:t>healthcare_dev.analytics.v_paid_claims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7"/>
              </w:rPr>
              <w:t>Layer</w:t>
            </w:r>
          </w:p>
        </w:tc>
        <w:tc>
          <w:tcPr>
            <w:tcW w:type="dxa" w:w="3264"/>
            <w:vAlign w:val="center"/>
          </w:tcPr>
          <w:p>
            <w:r>
              <w:rPr>
                <w:b/>
                <w:sz w:val="17"/>
              </w:rPr>
              <w:t>Example</w:t>
            </w:r>
          </w:p>
        </w:tc>
        <w:tc>
          <w:tcPr>
            <w:tcW w:type="dxa" w:w="3264"/>
            <w:vAlign w:val="center"/>
          </w:tcPr>
          <w:p>
            <w:r>
              <w:rPr>
                <w:b/>
                <w:sz w:val="17"/>
              </w:rPr>
              <w:t>Purpose</w:t>
            </w:r>
          </w:p>
        </w:tc>
      </w:tr>
      <w:tr>
        <w:tc>
          <w:tcPr>
            <w:tcW w:type="dxa" w:w="3264"/>
            <w:vAlign w:val="center"/>
          </w:tcPr>
          <w:p>
            <w:r>
              <w:rPr>
                <w:sz w:val="17"/>
              </w:rPr>
              <w:t>Catalog</w:t>
            </w:r>
          </w:p>
        </w:tc>
        <w:tc>
          <w:tcPr>
            <w:tcW w:type="dxa" w:w="3264"/>
            <w:vAlign w:val="center"/>
          </w:tcPr>
          <w:p>
            <w:r>
              <w:rPr>
                <w:sz w:val="17"/>
              </w:rPr>
              <w:t>healthcare_dev</w:t>
            </w:r>
          </w:p>
        </w:tc>
        <w:tc>
          <w:tcPr>
            <w:tcW w:type="dxa" w:w="3264"/>
            <w:vAlign w:val="center"/>
          </w:tcPr>
          <w:p>
            <w:r>
              <w:rPr>
                <w:sz w:val="17"/>
              </w:rPr>
              <w:t>Environment/domain boundary</w:t>
            </w:r>
          </w:p>
        </w:tc>
      </w:tr>
      <w:tr>
        <w:tc>
          <w:tcPr>
            <w:tcW w:type="dxa" w:w="3264"/>
            <w:vAlign w:val="center"/>
          </w:tcPr>
          <w:p>
            <w:r>
              <w:rPr>
                <w:sz w:val="17"/>
              </w:rPr>
              <w:t>Schema</w:t>
            </w:r>
          </w:p>
        </w:tc>
        <w:tc>
          <w:tcPr>
            <w:tcW w:type="dxa" w:w="3264"/>
            <w:vAlign w:val="center"/>
          </w:tcPr>
          <w:p>
            <w:r>
              <w:rPr>
                <w:sz w:val="17"/>
              </w:rPr>
              <w:t>raw</w:t>
            </w:r>
          </w:p>
        </w:tc>
        <w:tc>
          <w:tcPr>
            <w:tcW w:type="dxa" w:w="3264"/>
            <w:vAlign w:val="center"/>
          </w:tcPr>
          <w:p>
            <w:r>
              <w:rPr>
                <w:sz w:val="17"/>
              </w:rPr>
              <w:t>Source-aligned objects</w:t>
            </w:r>
          </w:p>
        </w:tc>
      </w:tr>
      <w:tr>
        <w:tc>
          <w:tcPr>
            <w:tcW w:type="dxa" w:w="3264"/>
            <w:vAlign w:val="center"/>
          </w:tcPr>
          <w:p>
            <w:r>
              <w:rPr>
                <w:sz w:val="17"/>
              </w:rPr>
              <w:t>Schema</w:t>
            </w:r>
          </w:p>
        </w:tc>
        <w:tc>
          <w:tcPr>
            <w:tcW w:type="dxa" w:w="3264"/>
            <w:vAlign w:val="center"/>
          </w:tcPr>
          <w:p>
            <w:r>
              <w:rPr>
                <w:sz w:val="17"/>
              </w:rPr>
              <w:t>analytics</w:t>
            </w:r>
          </w:p>
        </w:tc>
        <w:tc>
          <w:tcPr>
            <w:tcW w:type="dxa" w:w="3264"/>
            <w:vAlign w:val="center"/>
          </w:tcPr>
          <w:p>
            <w:r>
              <w:rPr>
                <w:sz w:val="17"/>
              </w:rPr>
              <w:t>Business/curated objects</w:t>
            </w:r>
          </w:p>
        </w:tc>
      </w:tr>
      <w:tr>
        <w:tc>
          <w:tcPr>
            <w:tcW w:type="dxa" w:w="3264"/>
            <w:vAlign w:val="center"/>
          </w:tcPr>
          <w:p>
            <w:r>
              <w:rPr>
                <w:sz w:val="17"/>
              </w:rPr>
              <w:t>Object</w:t>
            </w:r>
          </w:p>
        </w:tc>
        <w:tc>
          <w:tcPr>
            <w:tcW w:type="dxa" w:w="3264"/>
            <w:vAlign w:val="center"/>
          </w:tcPr>
          <w:p>
            <w:r>
              <w:rPr>
                <w:sz w:val="17"/>
              </w:rPr>
              <w:t>claims</w:t>
            </w:r>
          </w:p>
        </w:tc>
        <w:tc>
          <w:tcPr>
            <w:tcW w:type="dxa" w:w="3264"/>
            <w:vAlign w:val="center"/>
          </w:tcPr>
          <w:p>
            <w:r>
              <w:rPr>
                <w:sz w:val="17"/>
              </w:rPr>
              <w:t>Table or view</w:t>
            </w:r>
          </w:p>
        </w:tc>
      </w:tr>
    </w:tbl>
    <w:p>
      <w:r>
        <w:t>This organization separates raw and curated layers and makes environment-specific object mapping explicit.</w:t>
      </w:r>
    </w:p>
    <w:p>
      <w:pPr>
        <w:pStyle w:val="Heading1"/>
      </w:pPr>
      <w:r>
        <w:t>13. Data Validation and Reconciliation</w:t>
      </w:r>
    </w:p>
    <w:p>
      <w:r>
        <w:t>The validation framework is designed to demonstrate that the target workload preserves source behavior.</w:t>
      </w:r>
    </w:p>
    <w:p>
      <w:pPr>
        <w:pStyle w:val="Heading2"/>
      </w:pPr>
      <w:r>
        <w:t>13.1 Core Checks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7"/>
              </w:rPr>
              <w:t>Check</w:t>
            </w:r>
          </w:p>
        </w:tc>
        <w:tc>
          <w:tcPr>
            <w:tcW w:type="dxa" w:w="3264"/>
            <w:vAlign w:val="center"/>
          </w:tcPr>
          <w:p>
            <w:r>
              <w:rPr>
                <w:b/>
                <w:sz w:val="17"/>
              </w:rPr>
              <w:t>Example</w:t>
            </w:r>
          </w:p>
        </w:tc>
        <w:tc>
          <w:tcPr>
            <w:tcW w:type="dxa" w:w="3264"/>
            <w:vAlign w:val="center"/>
          </w:tcPr>
          <w:p>
            <w:r>
              <w:rPr>
                <w:b/>
                <w:sz w:val="17"/>
              </w:rPr>
              <w:t>Expected Result</w:t>
            </w:r>
          </w:p>
        </w:tc>
      </w:tr>
      <w:tr>
        <w:tc>
          <w:tcPr>
            <w:tcW w:type="dxa" w:w="3264"/>
            <w:vAlign w:val="center"/>
          </w:tcPr>
          <w:p>
            <w:r>
              <w:rPr>
                <w:sz w:val="17"/>
              </w:rPr>
              <w:t>Row count</w:t>
            </w:r>
          </w:p>
        </w:tc>
        <w:tc>
          <w:tcPr>
            <w:tcW w:type="dxa" w:w="3264"/>
            <w:vAlign w:val="center"/>
          </w:tcPr>
          <w:p>
            <w:r>
              <w:rPr>
                <w:sz w:val="17"/>
              </w:rPr>
              <w:t>COUNT(*)</w:t>
            </w:r>
          </w:p>
        </w:tc>
        <w:tc>
          <w:tcPr>
            <w:tcW w:type="dxa" w:w="3264"/>
            <w:vAlign w:val="center"/>
          </w:tcPr>
          <w:p>
            <w:r>
              <w:rPr>
                <w:sz w:val="17"/>
              </w:rPr>
              <w:t>Equivalent unless transformation intentionally changes population</w:t>
            </w:r>
          </w:p>
        </w:tc>
      </w:tr>
      <w:tr>
        <w:tc>
          <w:tcPr>
            <w:tcW w:type="dxa" w:w="3264"/>
            <w:vAlign w:val="center"/>
          </w:tcPr>
          <w:p>
            <w:r>
              <w:rPr>
                <w:sz w:val="17"/>
              </w:rPr>
              <w:t>Distinct keys</w:t>
            </w:r>
          </w:p>
        </w:tc>
        <w:tc>
          <w:tcPr>
            <w:tcW w:type="dxa" w:w="3264"/>
            <w:vAlign w:val="center"/>
          </w:tcPr>
          <w:p>
            <w:r>
              <w:rPr>
                <w:sz w:val="17"/>
              </w:rPr>
              <w:t>COUNT(DISTINCT claim_id)</w:t>
            </w:r>
          </w:p>
        </w:tc>
        <w:tc>
          <w:tcPr>
            <w:tcW w:type="dxa" w:w="3264"/>
            <w:vAlign w:val="center"/>
          </w:tcPr>
          <w:p>
            <w:r>
              <w:rPr>
                <w:sz w:val="17"/>
              </w:rPr>
              <w:t>Equivalent</w:t>
            </w:r>
          </w:p>
        </w:tc>
      </w:tr>
      <w:tr>
        <w:tc>
          <w:tcPr>
            <w:tcW w:type="dxa" w:w="3264"/>
            <w:vAlign w:val="center"/>
          </w:tcPr>
          <w:p>
            <w:r>
              <w:rPr>
                <w:sz w:val="17"/>
              </w:rPr>
              <w:t>Duplicates</w:t>
            </w:r>
          </w:p>
        </w:tc>
        <w:tc>
          <w:tcPr>
            <w:tcW w:type="dxa" w:w="3264"/>
            <w:vAlign w:val="center"/>
          </w:tcPr>
          <w:p>
            <w:r>
              <w:rPr>
                <w:sz w:val="17"/>
              </w:rPr>
              <w:t>GROUP BY claim_id HAVING COUNT(*) &gt; 1</w:t>
            </w:r>
          </w:p>
        </w:tc>
        <w:tc>
          <w:tcPr>
            <w:tcW w:type="dxa" w:w="3264"/>
            <w:vAlign w:val="center"/>
          </w:tcPr>
          <w:p>
            <w:r>
              <w:rPr>
                <w:sz w:val="17"/>
              </w:rPr>
              <w:t>No unexpected duplicates</w:t>
            </w:r>
          </w:p>
        </w:tc>
      </w:tr>
      <w:tr>
        <w:tc>
          <w:tcPr>
            <w:tcW w:type="dxa" w:w="3264"/>
            <w:vAlign w:val="center"/>
          </w:tcPr>
          <w:p>
            <w:r>
              <w:rPr>
                <w:sz w:val="17"/>
              </w:rPr>
              <w:t>NULLs</w:t>
            </w:r>
          </w:p>
        </w:tc>
        <w:tc>
          <w:tcPr>
            <w:tcW w:type="dxa" w:w="3264"/>
            <w:vAlign w:val="center"/>
          </w:tcPr>
          <w:p>
            <w:r>
              <w:rPr>
                <w:sz w:val="17"/>
              </w:rPr>
              <w:t>COUNT(*) - COUNT(provider_id)</w:t>
            </w:r>
          </w:p>
        </w:tc>
        <w:tc>
          <w:tcPr>
            <w:tcW w:type="dxa" w:w="3264"/>
            <w:vAlign w:val="center"/>
          </w:tcPr>
          <w:p>
            <w:r>
              <w:rPr>
                <w:sz w:val="17"/>
              </w:rPr>
              <w:t>Equivalent</w:t>
            </w:r>
          </w:p>
        </w:tc>
      </w:tr>
      <w:tr>
        <w:tc>
          <w:tcPr>
            <w:tcW w:type="dxa" w:w="3264"/>
            <w:vAlign w:val="center"/>
          </w:tcPr>
          <w:p>
            <w:r>
              <w:rPr>
                <w:sz w:val="17"/>
              </w:rPr>
              <w:t>Amount</w:t>
            </w:r>
          </w:p>
        </w:tc>
        <w:tc>
          <w:tcPr>
            <w:tcW w:type="dxa" w:w="3264"/>
            <w:vAlign w:val="center"/>
          </w:tcPr>
          <w:p>
            <w:r>
              <w:rPr>
                <w:sz w:val="17"/>
              </w:rPr>
              <w:t>SUM(amount)</w:t>
            </w:r>
          </w:p>
        </w:tc>
        <w:tc>
          <w:tcPr>
            <w:tcW w:type="dxa" w:w="3264"/>
            <w:vAlign w:val="center"/>
          </w:tcPr>
          <w:p>
            <w:r>
              <w:rPr>
                <w:sz w:val="17"/>
              </w:rPr>
              <w:t>Equivalent within defined precision</w:t>
            </w:r>
          </w:p>
        </w:tc>
      </w:tr>
      <w:tr>
        <w:tc>
          <w:tcPr>
            <w:tcW w:type="dxa" w:w="3264"/>
            <w:vAlign w:val="center"/>
          </w:tcPr>
          <w:p>
            <w:r>
              <w:rPr>
                <w:sz w:val="17"/>
              </w:rPr>
              <w:t>Status distribution</w:t>
            </w:r>
          </w:p>
        </w:tc>
        <w:tc>
          <w:tcPr>
            <w:tcW w:type="dxa" w:w="3264"/>
            <w:vAlign w:val="center"/>
          </w:tcPr>
          <w:p>
            <w:r>
              <w:rPr>
                <w:sz w:val="17"/>
              </w:rPr>
              <w:t>GROUP BY status</w:t>
            </w:r>
          </w:p>
        </w:tc>
        <w:tc>
          <w:tcPr>
            <w:tcW w:type="dxa" w:w="3264"/>
            <w:vAlign w:val="center"/>
          </w:tcPr>
          <w:p>
            <w:r>
              <w:rPr>
                <w:sz w:val="17"/>
              </w:rPr>
              <w:t>Equivalent distribution</w:t>
            </w:r>
          </w:p>
        </w:tc>
      </w:tr>
    </w:tbl>
    <w:p>
      <w:pPr>
        <w:pStyle w:val="Heading2"/>
      </w:pPr>
      <w:r>
        <w:t>13.2 Reconciliation Query</w:t>
      </w:r>
    </w:p>
    <w:p>
      <w:pPr>
        <w:pStyle w:val="Code"/>
      </w:pPr>
      <w:r>
        <w:t>SELECT</w:t>
        <w:br/>
        <w:t xml:space="preserve">    COUNT(*) AS row_count,</w:t>
        <w:br/>
        <w:t xml:space="preserve">    COUNT(DISTINCT claim_id) AS distinct_claims,</w:t>
        <w:br/>
        <w:t xml:space="preserve">    SUM(amount) AS total_amount,</w:t>
        <w:br/>
        <w:t xml:space="preserve">    SUM(CASE WHEN provider_id IS NULL THEN 1 ELSE 0 END) AS null_providers</w:t>
        <w:br/>
        <w:t>FROM healthcare_dev.analytics.claims;</w:t>
      </w:r>
    </w:p>
    <w:p>
      <w:pPr>
        <w:pStyle w:val="Heading2"/>
      </w:pPr>
      <w:r>
        <w:t>13.3 Mismatch Investigation</w:t>
      </w:r>
    </w:p>
    <w:p>
      <w:r>
        <w:t>If row counts differ, the first step is to determine where the difference begins. The pipeline is validated stage by stage. This prevents a downstream mismatch from being incorrectly attributed to the final transformation.</w:t>
      </w:r>
    </w:p>
    <w:p>
      <w:pPr>
        <w:pStyle w:val="ListNumber"/>
      </w:pPr>
      <w:r>
        <w:t>Validate source extraction.</w:t>
      </w:r>
    </w:p>
    <w:p>
      <w:pPr>
        <w:pStyle w:val="ListNumber"/>
      </w:pPr>
      <w:r>
        <w:t>Validate filters.</w:t>
      </w:r>
    </w:p>
    <w:p>
      <w:pPr>
        <w:pStyle w:val="ListNumber"/>
      </w:pPr>
      <w:r>
        <w:t>Validate each join.</w:t>
      </w:r>
    </w:p>
    <w:p>
      <w:pPr>
        <w:pStyle w:val="ListNumber"/>
      </w:pPr>
      <w:r>
        <w:t>Validate UNION behavior.</w:t>
      </w:r>
    </w:p>
    <w:p>
      <w:pPr>
        <w:pStyle w:val="ListNumber"/>
      </w:pPr>
      <w:r>
        <w:t>Validate aggregation and PIVOT.</w:t>
      </w:r>
    </w:p>
    <w:p>
      <w:pPr>
        <w:pStyle w:val="ListNumber"/>
      </w:pPr>
      <w:r>
        <w:t>Validate final output.</w:t>
      </w:r>
    </w:p>
    <w:p>
      <w:pPr>
        <w:pStyle w:val="ListNumber"/>
      </w:pPr>
      <w:r>
        <w:t>Compare affected keys and sample records.</w:t>
      </w:r>
    </w:p>
    <w:p>
      <w:pPr>
        <w:pStyle w:val="Heading1"/>
      </w:pPr>
      <w:r>
        <w:t>14. Workflow Orchestration with Argo CronWorkflow</w:t>
      </w:r>
    </w:p>
    <w:p>
      <w:pPr>
        <w:pStyle w:val="Code"/>
      </w:pPr>
      <w:r>
        <w:t>apiVersion: argoproj.io/v1alpha1</w:t>
        <w:br/>
        <w:t>kind: CronWorkflow</w:t>
        <w:br/>
        <w:t>metadata:</w:t>
        <w:br/>
        <w:t xml:space="preserve">  name: healthcare-claims-pipeline</w:t>
        <w:br/>
        <w:t>spec:</w:t>
        <w:br/>
        <w:t xml:space="preserve">  schedule: "0 5 * * *"</w:t>
        <w:br/>
        <w:t xml:space="preserve">  workflowSpec:</w:t>
        <w:br/>
        <w:t xml:space="preserve">    entrypoint: main</w:t>
        <w:br/>
        <w:t xml:space="preserve">    templates:</w:t>
        <w:br/>
        <w:t xml:space="preserve">      - name: main</w:t>
        <w:br/>
        <w:t xml:space="preserve">        steps:</w:t>
        <w:br/>
        <w:t xml:space="preserve">          - - name: process-claims</w:t>
        <w:br/>
        <w:t xml:space="preserve">              template: databricks-processing</w:t>
        <w:br/>
        <w:t xml:space="preserve">          - - name: validate</w:t>
        <w:br/>
        <w:t xml:space="preserve">              template: validation</w:t>
        <w:br/>
      </w:r>
    </w:p>
    <w:p>
      <w:r>
        <w:t>This simplified definition demonstrates scheduled execution and task sequencing. A production implementation would include environment parameters, secrets references, retries, resource settings, logging, and platform-specific integration configuration.</w:t>
      </w:r>
    </w:p>
    <w:p>
      <w:pPr>
        <w:pStyle w:val="Heading2"/>
      </w:pPr>
      <w:r>
        <w:t>14.1 Workflow Lifecycle</w:t>
      </w:r>
    </w:p>
    <w:p>
      <w:pPr>
        <w:pStyle w:val="ListNumber"/>
      </w:pPr>
      <w:r>
        <w:t>Cron schedule triggers the workflow.</w:t>
      </w:r>
    </w:p>
    <w:p>
      <w:pPr>
        <w:pStyle w:val="ListNumber"/>
      </w:pPr>
      <w:r>
        <w:t>Processing task executes the Databricks workload.</w:t>
      </w:r>
    </w:p>
    <w:p>
      <w:pPr>
        <w:pStyle w:val="ListNumber"/>
      </w:pPr>
      <w:r>
        <w:t>Validation task verifies the output.</w:t>
      </w:r>
    </w:p>
    <w:p>
      <w:pPr>
        <w:pStyle w:val="ListNumber"/>
      </w:pPr>
      <w:r>
        <w:t>File-generation task creates downstream output.</w:t>
      </w:r>
    </w:p>
    <w:p>
      <w:pPr>
        <w:pStyle w:val="ListNumber"/>
      </w:pPr>
      <w:r>
        <w:t>Transfer task delivers the file.</w:t>
      </w:r>
    </w:p>
    <w:p>
      <w:pPr>
        <w:pStyle w:val="ListNumber"/>
      </w:pPr>
      <w:r>
        <w:t>Archive task moves the completed file.</w:t>
      </w:r>
    </w:p>
    <w:p>
      <w:pPr>
        <w:pStyle w:val="ListNumber"/>
      </w:pPr>
      <w:r>
        <w:t>Failure paths are captured through workflow status and logs.</w:t>
      </w:r>
    </w:p>
    <w:p>
      <w:pPr>
        <w:pStyle w:val="Heading1"/>
      </w:pPr>
      <w:r>
        <w:t>15. File Generation and S3/SFTP Delivery</w:t>
      </w:r>
    </w:p>
    <w:p>
      <w:r>
        <w:t>The synthetic project includes a downstream delivery pattern to demonstrate operational data engineering.</w:t>
      </w:r>
    </w:p>
    <w:p>
      <w:pPr>
        <w:pStyle w:val="Code"/>
      </w:pPr>
      <w:r>
        <w:t>Databricks</w:t>
        <w:br/>
        <w:t xml:space="preserve">   ↓</w:t>
        <w:br/>
        <w:t>Generate output</w:t>
        <w:br/>
        <w:t xml:space="preserve">   ↓</w:t>
        <w:br/>
        <w:t>Validate row count / file format</w:t>
        <w:br/>
        <w:t xml:space="preserve">   ↓</w:t>
        <w:br/>
        <w:t>S3 or SFTP destination</w:t>
        <w:br/>
        <w:t xml:space="preserve">   ↓</w:t>
        <w:br/>
        <w:t>Archive</w:t>
        <w:br/>
      </w:r>
    </w:p>
    <w:p>
      <w:r>
        <w:t>A robust workflow should avoid assuming that successful transformation automatically means successful delivery. Each stage should have clear success criteria.</w:t>
      </w:r>
    </w:p>
    <w:p>
      <w:pPr>
        <w:pStyle w:val="Heading1"/>
      </w:pPr>
      <w:r>
        <w:t>16. Git and Deployment Strategy</w:t>
      </w:r>
    </w:p>
    <w:p>
      <w:r>
        <w:t>The public portfolio is represented as a Git repository containing only synthetic examples. Git provides traceability and supports a controlled development lifecycle.</w:t>
      </w:r>
    </w:p>
    <w:p>
      <w:pPr>
        <w:pStyle w:val="Code"/>
      </w:pPr>
      <w:r>
        <w:t>feature branch</w:t>
        <w:br/>
        <w:t xml:space="preserve">     ↓</w:t>
        <w:br/>
        <w:t>development / testing</w:t>
        <w:br/>
        <w:t xml:space="preserve">     ↓</w:t>
        <w:br/>
        <w:t>review</w:t>
        <w:br/>
        <w:t xml:space="preserve">     ↓</w:t>
        <w:br/>
        <w:t>merge</w:t>
        <w:br/>
        <w:t xml:space="preserve">     ↓</w:t>
        <w:br/>
        <w:t>release /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sz w:val="17"/>
              </w:rPr>
              <w:t>Practice</w:t>
            </w:r>
          </w:p>
        </w:tc>
        <w:tc>
          <w:tcPr>
            <w:tcW w:type="dxa" w:w="4896"/>
            <w:vAlign w:val="center"/>
          </w:tcPr>
          <w:p>
            <w:r>
              <w:rPr>
                <w:b/>
                <w:sz w:val="17"/>
              </w:rPr>
              <w:t>Purpose</w:t>
            </w:r>
          </w:p>
        </w:tc>
      </w:tr>
      <w:tr>
        <w:tc>
          <w:tcPr>
            <w:tcW w:type="dxa" w:w="4896"/>
            <w:vAlign w:val="center"/>
          </w:tcPr>
          <w:p>
            <w:r>
              <w:rPr>
                <w:sz w:val="17"/>
              </w:rPr>
              <w:t>Feature branch</w:t>
            </w:r>
          </w:p>
        </w:tc>
        <w:tc>
          <w:tcPr>
            <w:tcW w:type="dxa" w:w="4896"/>
            <w:vAlign w:val="center"/>
          </w:tcPr>
          <w:p>
            <w:r>
              <w:rPr>
                <w:sz w:val="17"/>
              </w:rPr>
              <w:t>Isolate a change</w:t>
            </w:r>
          </w:p>
        </w:tc>
      </w:tr>
      <w:tr>
        <w:tc>
          <w:tcPr>
            <w:tcW w:type="dxa" w:w="4896"/>
            <w:vAlign w:val="center"/>
          </w:tcPr>
          <w:p>
            <w:r>
              <w:rPr>
                <w:sz w:val="17"/>
              </w:rPr>
              <w:t>Commit</w:t>
            </w:r>
          </w:p>
        </w:tc>
        <w:tc>
          <w:tcPr>
            <w:tcW w:type="dxa" w:w="4896"/>
            <w:vAlign w:val="center"/>
          </w:tcPr>
          <w:p>
            <w:r>
              <w:rPr>
                <w:sz w:val="17"/>
              </w:rPr>
              <w:t>Record an atomic change</w:t>
            </w:r>
          </w:p>
        </w:tc>
      </w:tr>
      <w:tr>
        <w:tc>
          <w:tcPr>
            <w:tcW w:type="dxa" w:w="4896"/>
            <w:vAlign w:val="center"/>
          </w:tcPr>
          <w:p>
            <w:r>
              <w:rPr>
                <w:sz w:val="17"/>
              </w:rPr>
              <w:t>Pull/Merge Request</w:t>
            </w:r>
          </w:p>
        </w:tc>
        <w:tc>
          <w:tcPr>
            <w:tcW w:type="dxa" w:w="4896"/>
            <w:vAlign w:val="center"/>
          </w:tcPr>
          <w:p>
            <w:r>
              <w:rPr>
                <w:sz w:val="17"/>
              </w:rPr>
              <w:t>Review and collaboration</w:t>
            </w:r>
          </w:p>
        </w:tc>
      </w:tr>
      <w:tr>
        <w:tc>
          <w:tcPr>
            <w:tcW w:type="dxa" w:w="4896"/>
            <w:vAlign w:val="center"/>
          </w:tcPr>
          <w:p>
            <w:r>
              <w:rPr>
                <w:sz w:val="17"/>
              </w:rPr>
              <w:t>Merge</w:t>
            </w:r>
          </w:p>
        </w:tc>
        <w:tc>
          <w:tcPr>
            <w:tcW w:type="dxa" w:w="4896"/>
            <w:vAlign w:val="center"/>
          </w:tcPr>
          <w:p>
            <w:r>
              <w:rPr>
                <w:sz w:val="17"/>
              </w:rPr>
              <w:t>Integrate approved changes</w:t>
            </w:r>
          </w:p>
        </w:tc>
      </w:tr>
      <w:tr>
        <w:tc>
          <w:tcPr>
            <w:tcW w:type="dxa" w:w="4896"/>
            <w:vAlign w:val="center"/>
          </w:tcPr>
          <w:p>
            <w:r>
              <w:rPr>
                <w:sz w:val="17"/>
              </w:rPr>
              <w:t>Tag/Release</w:t>
            </w:r>
          </w:p>
        </w:tc>
        <w:tc>
          <w:tcPr>
            <w:tcW w:type="dxa" w:w="4896"/>
            <w:vAlign w:val="center"/>
          </w:tcPr>
          <w:p>
            <w:r>
              <w:rPr>
                <w:sz w:val="17"/>
              </w:rPr>
              <w:t>Identify a stable version</w:t>
            </w:r>
          </w:p>
        </w:tc>
      </w:tr>
    </w:tbl>
    <w:p>
      <w:r>
        <w:t>The academic repository should never contain production credentials, real healthcare records, private endpoints, or client-owned implementation artifacts.</w:t>
      </w:r>
    </w:p>
    <w:p>
      <w:pPr>
        <w:pStyle w:val="Heading1"/>
      </w:pPr>
      <w:r>
        <w:t>17. Error Handling and Troubleshooting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sz w:val="17"/>
              </w:rPr>
              <w:t>Failure</w:t>
            </w:r>
          </w:p>
        </w:tc>
        <w:tc>
          <w:tcPr>
            <w:tcW w:type="dxa" w:w="4896"/>
            <w:vAlign w:val="center"/>
          </w:tcPr>
          <w:p>
            <w:r>
              <w:rPr>
                <w:b/>
                <w:sz w:val="17"/>
              </w:rPr>
              <w:t>Investigation</w:t>
            </w:r>
          </w:p>
        </w:tc>
      </w:tr>
      <w:tr>
        <w:tc>
          <w:tcPr>
            <w:tcW w:type="dxa" w:w="4896"/>
            <w:vAlign w:val="center"/>
          </w:tcPr>
          <w:p>
            <w:r>
              <w:rPr>
                <w:sz w:val="17"/>
              </w:rPr>
              <w:t>Table not found</w:t>
            </w:r>
          </w:p>
        </w:tc>
        <w:tc>
          <w:tcPr>
            <w:tcW w:type="dxa" w:w="4896"/>
            <w:vAlign w:val="center"/>
          </w:tcPr>
          <w:p>
            <w:r>
              <w:rPr>
                <w:sz w:val="17"/>
              </w:rPr>
              <w:t>Check catalog/schema/object and permissions</w:t>
            </w:r>
          </w:p>
        </w:tc>
      </w:tr>
      <w:tr>
        <w:tc>
          <w:tcPr>
            <w:tcW w:type="dxa" w:w="4896"/>
            <w:vAlign w:val="center"/>
          </w:tcPr>
          <w:p>
            <w:r>
              <w:rPr>
                <w:sz w:val="17"/>
              </w:rPr>
              <w:t>SQL function error</w:t>
            </w:r>
          </w:p>
        </w:tc>
        <w:tc>
          <w:tcPr>
            <w:tcW w:type="dxa" w:w="4896"/>
            <w:vAlign w:val="center"/>
          </w:tcPr>
          <w:p>
            <w:r>
              <w:rPr>
                <w:sz w:val="17"/>
              </w:rPr>
              <w:t>Identify unsupported legacy function and map to target equivalent</w:t>
            </w:r>
          </w:p>
        </w:tc>
      </w:tr>
      <w:tr>
        <w:tc>
          <w:tcPr>
            <w:tcW w:type="dxa" w:w="4896"/>
            <w:vAlign w:val="center"/>
          </w:tcPr>
          <w:p>
            <w:r>
              <w:rPr>
                <w:sz w:val="17"/>
              </w:rPr>
              <w:t>Row count mismatch</w:t>
            </w:r>
          </w:p>
        </w:tc>
        <w:tc>
          <w:tcPr>
            <w:tcW w:type="dxa" w:w="4896"/>
            <w:vAlign w:val="center"/>
          </w:tcPr>
          <w:p>
            <w:r>
              <w:rPr>
                <w:sz w:val="17"/>
              </w:rPr>
              <w:t>Trace filters, joins, UNION, duplicates and transformation stages</w:t>
            </w:r>
          </w:p>
        </w:tc>
      </w:tr>
      <w:tr>
        <w:tc>
          <w:tcPr>
            <w:tcW w:type="dxa" w:w="4896"/>
            <w:vAlign w:val="center"/>
          </w:tcPr>
          <w:p>
            <w:r>
              <w:rPr>
                <w:sz w:val="17"/>
              </w:rPr>
              <w:t>PIVOT mismatch</w:t>
            </w:r>
          </w:p>
        </w:tc>
        <w:tc>
          <w:tcPr>
            <w:tcW w:type="dxa" w:w="4896"/>
            <w:vAlign w:val="center"/>
          </w:tcPr>
          <w:p>
            <w:r>
              <w:rPr>
                <w:sz w:val="17"/>
              </w:rPr>
              <w:t>Validate pre-pivot grain and aggregation</w:t>
            </w:r>
          </w:p>
        </w:tc>
      </w:tr>
      <w:tr>
        <w:tc>
          <w:tcPr>
            <w:tcW w:type="dxa" w:w="4896"/>
            <w:vAlign w:val="center"/>
          </w:tcPr>
          <w:p>
            <w:r>
              <w:rPr>
                <w:sz w:val="17"/>
              </w:rPr>
              <w:t>YAML error</w:t>
            </w:r>
          </w:p>
        </w:tc>
        <w:tc>
          <w:tcPr>
            <w:tcW w:type="dxa" w:w="4896"/>
            <w:vAlign w:val="center"/>
          </w:tcPr>
          <w:p>
            <w:r>
              <w:rPr>
                <w:sz w:val="17"/>
              </w:rPr>
              <w:t>Validate indentation, keys, resource version and parameters</w:t>
            </w:r>
          </w:p>
        </w:tc>
      </w:tr>
      <w:tr>
        <w:tc>
          <w:tcPr>
            <w:tcW w:type="dxa" w:w="4896"/>
            <w:vAlign w:val="center"/>
          </w:tcPr>
          <w:p>
            <w:r>
              <w:rPr>
                <w:sz w:val="17"/>
              </w:rPr>
              <w:t>Scheduled workflow failure</w:t>
            </w:r>
          </w:p>
        </w:tc>
        <w:tc>
          <w:tcPr>
            <w:tcW w:type="dxa" w:w="4896"/>
            <w:vAlign w:val="center"/>
          </w:tcPr>
          <w:p>
            <w:r>
              <w:rPr>
                <w:sz w:val="17"/>
              </w:rPr>
              <w:t>Check schedule, timezone, identity, dependencies and parameters</w:t>
            </w:r>
          </w:p>
        </w:tc>
      </w:tr>
      <w:tr>
        <w:tc>
          <w:tcPr>
            <w:tcW w:type="dxa" w:w="4896"/>
            <w:vAlign w:val="center"/>
          </w:tcPr>
          <w:p>
            <w:r>
              <w:rPr>
                <w:sz w:val="17"/>
              </w:rPr>
              <w:t>S3/SFTP failure</w:t>
            </w:r>
          </w:p>
        </w:tc>
        <w:tc>
          <w:tcPr>
            <w:tcW w:type="dxa" w:w="4896"/>
            <w:vAlign w:val="center"/>
          </w:tcPr>
          <w:p>
            <w:r>
              <w:rPr>
                <w:sz w:val="17"/>
              </w:rPr>
              <w:t>Check source file, path, permissions, credentials and destination</w:t>
            </w:r>
          </w:p>
        </w:tc>
      </w:tr>
      <w:tr>
        <w:tc>
          <w:tcPr>
            <w:tcW w:type="dxa" w:w="4896"/>
            <w:vAlign w:val="center"/>
          </w:tcPr>
          <w:p>
            <w:r>
              <w:rPr>
                <w:sz w:val="17"/>
              </w:rPr>
              <w:t>Dev works, production fails</w:t>
            </w:r>
          </w:p>
        </w:tc>
        <w:tc>
          <w:tcPr>
            <w:tcW w:type="dxa" w:w="4896"/>
            <w:vAlign w:val="center"/>
          </w:tcPr>
          <w:p>
            <w:r>
              <w:rPr>
                <w:sz w:val="17"/>
              </w:rPr>
              <w:t>Check environment-specific object names/configuration</w:t>
            </w:r>
          </w:p>
        </w:tc>
      </w:tr>
    </w:tbl>
    <w:p>
      <w:pPr>
        <w:pStyle w:val="Heading2"/>
      </w:pPr>
      <w:r>
        <w:t>17.1 Root-Cause Analysis Method</w:t>
      </w:r>
    </w:p>
    <w:p>
      <w:pPr>
        <w:pStyle w:val="ListNumber"/>
      </w:pPr>
      <w:r>
        <w:t>Capture the exact error.</w:t>
      </w:r>
    </w:p>
    <w:p>
      <w:pPr>
        <w:pStyle w:val="ListNumber"/>
      </w:pPr>
      <w:r>
        <w:t>Identify the failing component.</w:t>
      </w:r>
    </w:p>
    <w:p>
      <w:pPr>
        <w:pStyle w:val="ListNumber"/>
      </w:pPr>
      <w:r>
        <w:t>Classify the failure.</w:t>
      </w:r>
    </w:p>
    <w:p>
      <w:pPr>
        <w:pStyle w:val="ListNumber"/>
      </w:pPr>
      <w:r>
        <w:t>Check recent changes.</w:t>
      </w:r>
    </w:p>
    <w:p>
      <w:pPr>
        <w:pStyle w:val="ListNumber"/>
      </w:pPr>
      <w:r>
        <w:t>Compare with the last known-good execution.</w:t>
      </w:r>
    </w:p>
    <w:p>
      <w:pPr>
        <w:pStyle w:val="ListNumber"/>
      </w:pPr>
      <w:r>
        <w:t>Reproduce in a controlled environment.</w:t>
      </w:r>
    </w:p>
    <w:p>
      <w:pPr>
        <w:pStyle w:val="ListNumber"/>
      </w:pPr>
      <w:r>
        <w:t>Apply the smallest safe correction.</w:t>
      </w:r>
    </w:p>
    <w:p>
      <w:pPr>
        <w:pStyle w:val="ListNumber"/>
      </w:pPr>
      <w:r>
        <w:t>Run functional and data validation.</w:t>
      </w:r>
    </w:p>
    <w:p>
      <w:pPr>
        <w:pStyle w:val="ListNumber"/>
      </w:pPr>
      <w:r>
        <w:t>Promote through version control.</w:t>
      </w:r>
    </w:p>
    <w:p>
      <w:pPr>
        <w:pStyle w:val="ListNumber"/>
      </w:pPr>
      <w:r>
        <w:t>Document the root cause and prevention.</w:t>
      </w:r>
    </w:p>
    <w:p>
      <w:pPr>
        <w:pStyle w:val="Heading1"/>
      </w:pPr>
      <w:r>
        <w:t>18. Security and Confidentiality</w:t>
      </w:r>
    </w:p>
    <w:p>
      <w:r>
        <w:t>Healthcare data engineering requires strong protection of sensitive information. This academic implementation therefore uses synthetic identifiers and does not reproduce real patient information.</w:t>
      </w:r>
    </w:p>
    <w:p>
      <w:pPr>
        <w:pStyle w:val="ListBullet"/>
      </w:pPr>
      <w:r>
        <w:t>No real patient names, addresses, medical records, or claims are used.</w:t>
      </w:r>
    </w:p>
    <w:p>
      <w:pPr>
        <w:pStyle w:val="ListBullet"/>
      </w:pPr>
      <w:r>
        <w:t>No passwords, access tokens, keys, or credentials are stored in source control.</w:t>
      </w:r>
    </w:p>
    <w:p>
      <w:pPr>
        <w:pStyle w:val="ListBullet"/>
      </w:pPr>
      <w:r>
        <w:t>Environment-specific secrets should be managed outside source code.</w:t>
      </w:r>
    </w:p>
    <w:p>
      <w:pPr>
        <w:pStyle w:val="ListBullet"/>
      </w:pPr>
      <w:r>
        <w:t>Public repositories should contain only independently recreated technical examples.</w:t>
      </w:r>
    </w:p>
    <w:p>
      <w:pPr>
        <w:pStyle w:val="ListBullet"/>
      </w:pPr>
      <w:r>
        <w:t>Access to production data should follow organizational security and governance controls.</w:t>
      </w:r>
    </w:p>
    <w:p>
      <w:pPr>
        <w:pStyle w:val="ListBullet"/>
      </w:pPr>
      <w:r>
        <w:t>Data minimization should be applied when creating demonstration datasets.</w:t>
      </w:r>
    </w:p>
    <w:p>
      <w:pPr>
        <w:pStyle w:val="Heading1"/>
      </w:pPr>
      <w:r>
        <w:t>19. Testing Strategy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7"/>
              </w:rPr>
              <w:t>Test Level</w:t>
            </w:r>
          </w:p>
        </w:tc>
        <w:tc>
          <w:tcPr>
            <w:tcW w:type="dxa" w:w="3264"/>
            <w:vAlign w:val="center"/>
          </w:tcPr>
          <w:p>
            <w:r>
              <w:rPr>
                <w:b/>
                <w:sz w:val="17"/>
              </w:rPr>
              <w:t>Purpose</w:t>
            </w:r>
          </w:p>
        </w:tc>
        <w:tc>
          <w:tcPr>
            <w:tcW w:type="dxa" w:w="3264"/>
            <w:vAlign w:val="center"/>
          </w:tcPr>
          <w:p>
            <w:r>
              <w:rPr>
                <w:b/>
                <w:sz w:val="17"/>
              </w:rPr>
              <w:t>Example</w:t>
            </w:r>
          </w:p>
        </w:tc>
      </w:tr>
      <w:tr>
        <w:tc>
          <w:tcPr>
            <w:tcW w:type="dxa" w:w="3264"/>
            <w:vAlign w:val="center"/>
          </w:tcPr>
          <w:p>
            <w:r>
              <w:rPr>
                <w:sz w:val="17"/>
              </w:rPr>
              <w:t>Unit</w:t>
            </w:r>
          </w:p>
        </w:tc>
        <w:tc>
          <w:tcPr>
            <w:tcW w:type="dxa" w:w="3264"/>
            <w:vAlign w:val="center"/>
          </w:tcPr>
          <w:p>
            <w:r>
              <w:rPr>
                <w:sz w:val="17"/>
              </w:rPr>
              <w:t>Validate individual transformation</w:t>
            </w:r>
          </w:p>
        </w:tc>
        <w:tc>
          <w:tcPr>
            <w:tcW w:type="dxa" w:w="3264"/>
            <w:vAlign w:val="center"/>
          </w:tcPr>
          <w:p>
            <w:r>
              <w:rPr>
                <w:sz w:val="17"/>
              </w:rPr>
              <w:t>CASE / filter logic</w:t>
            </w:r>
          </w:p>
        </w:tc>
      </w:tr>
      <w:tr>
        <w:tc>
          <w:tcPr>
            <w:tcW w:type="dxa" w:w="3264"/>
            <w:vAlign w:val="center"/>
          </w:tcPr>
          <w:p>
            <w:r>
              <w:rPr>
                <w:sz w:val="17"/>
              </w:rPr>
              <w:t>Integration</w:t>
            </w:r>
          </w:p>
        </w:tc>
        <w:tc>
          <w:tcPr>
            <w:tcW w:type="dxa" w:w="3264"/>
            <w:vAlign w:val="center"/>
          </w:tcPr>
          <w:p>
            <w:r>
              <w:rPr>
                <w:sz w:val="17"/>
              </w:rPr>
              <w:t>Validate interaction of components</w:t>
            </w:r>
          </w:p>
        </w:tc>
        <w:tc>
          <w:tcPr>
            <w:tcW w:type="dxa" w:w="3264"/>
            <w:vAlign w:val="center"/>
          </w:tcPr>
          <w:p>
            <w:r>
              <w:rPr>
                <w:sz w:val="17"/>
              </w:rPr>
              <w:t>Join + aggregation</w:t>
            </w:r>
          </w:p>
        </w:tc>
      </w:tr>
      <w:tr>
        <w:tc>
          <w:tcPr>
            <w:tcW w:type="dxa" w:w="3264"/>
            <w:vAlign w:val="center"/>
          </w:tcPr>
          <w:p>
            <w:r>
              <w:rPr>
                <w:sz w:val="17"/>
              </w:rPr>
              <w:t>Data reconciliation</w:t>
            </w:r>
          </w:p>
        </w:tc>
        <w:tc>
          <w:tcPr>
            <w:tcW w:type="dxa" w:w="3264"/>
            <w:vAlign w:val="center"/>
          </w:tcPr>
          <w:p>
            <w:r>
              <w:rPr>
                <w:sz w:val="17"/>
              </w:rPr>
              <w:t>Compare source and target</w:t>
            </w:r>
          </w:p>
        </w:tc>
        <w:tc>
          <w:tcPr>
            <w:tcW w:type="dxa" w:w="3264"/>
            <w:vAlign w:val="center"/>
          </w:tcPr>
          <w:p>
            <w:r>
              <w:rPr>
                <w:sz w:val="17"/>
              </w:rPr>
              <w:t>Row counts / sums</w:t>
            </w:r>
          </w:p>
        </w:tc>
      </w:tr>
      <w:tr>
        <w:tc>
          <w:tcPr>
            <w:tcW w:type="dxa" w:w="3264"/>
            <w:vAlign w:val="center"/>
          </w:tcPr>
          <w:p>
            <w:r>
              <w:rPr>
                <w:sz w:val="17"/>
              </w:rPr>
              <w:t>Workflow</w:t>
            </w:r>
          </w:p>
        </w:tc>
        <w:tc>
          <w:tcPr>
            <w:tcW w:type="dxa" w:w="3264"/>
            <w:vAlign w:val="center"/>
          </w:tcPr>
          <w:p>
            <w:r>
              <w:rPr>
                <w:sz w:val="17"/>
              </w:rPr>
              <w:t>Validate orchestration</w:t>
            </w:r>
          </w:p>
        </w:tc>
        <w:tc>
          <w:tcPr>
            <w:tcW w:type="dxa" w:w="3264"/>
            <w:vAlign w:val="center"/>
          </w:tcPr>
          <w:p>
            <w:r>
              <w:rPr>
                <w:sz w:val="17"/>
              </w:rPr>
              <w:t>Argo dependencies</w:t>
            </w:r>
          </w:p>
        </w:tc>
      </w:tr>
      <w:tr>
        <w:tc>
          <w:tcPr>
            <w:tcW w:type="dxa" w:w="3264"/>
            <w:vAlign w:val="center"/>
          </w:tcPr>
          <w:p>
            <w:r>
              <w:rPr>
                <w:sz w:val="17"/>
              </w:rPr>
              <w:t>File validation</w:t>
            </w:r>
          </w:p>
        </w:tc>
        <w:tc>
          <w:tcPr>
            <w:tcW w:type="dxa" w:w="3264"/>
            <w:vAlign w:val="center"/>
          </w:tcPr>
          <w:p>
            <w:r>
              <w:rPr>
                <w:sz w:val="17"/>
              </w:rPr>
              <w:t>Validate downstream output</w:t>
            </w:r>
          </w:p>
        </w:tc>
        <w:tc>
          <w:tcPr>
            <w:tcW w:type="dxa" w:w="3264"/>
            <w:vAlign w:val="center"/>
          </w:tcPr>
          <w:p>
            <w:r>
              <w:rPr>
                <w:sz w:val="17"/>
              </w:rPr>
              <w:t>Filename / row count</w:t>
            </w:r>
          </w:p>
        </w:tc>
      </w:tr>
      <w:tr>
        <w:tc>
          <w:tcPr>
            <w:tcW w:type="dxa" w:w="3264"/>
            <w:vAlign w:val="center"/>
          </w:tcPr>
          <w:p>
            <w:r>
              <w:rPr>
                <w:sz w:val="17"/>
              </w:rPr>
              <w:t>Negative testing</w:t>
            </w:r>
          </w:p>
        </w:tc>
        <w:tc>
          <w:tcPr>
            <w:tcW w:type="dxa" w:w="3264"/>
            <w:vAlign w:val="center"/>
          </w:tcPr>
          <w:p>
            <w:r>
              <w:rPr>
                <w:sz w:val="17"/>
              </w:rPr>
              <w:t>Validate failure handling</w:t>
            </w:r>
          </w:p>
        </w:tc>
        <w:tc>
          <w:tcPr>
            <w:tcW w:type="dxa" w:w="3264"/>
            <w:vAlign w:val="center"/>
          </w:tcPr>
          <w:p>
            <w:r>
              <w:rPr>
                <w:sz w:val="17"/>
              </w:rPr>
              <w:t>Missing input / invalid path</w:t>
            </w:r>
          </w:p>
        </w:tc>
      </w:tr>
      <w:tr>
        <w:tc>
          <w:tcPr>
            <w:tcW w:type="dxa" w:w="3264"/>
            <w:vAlign w:val="center"/>
          </w:tcPr>
          <w:p>
            <w:r>
              <w:rPr>
                <w:sz w:val="17"/>
              </w:rPr>
              <w:t>Regression</w:t>
            </w:r>
          </w:p>
        </w:tc>
        <w:tc>
          <w:tcPr>
            <w:tcW w:type="dxa" w:w="3264"/>
            <w:vAlign w:val="center"/>
          </w:tcPr>
          <w:p>
            <w:r>
              <w:rPr>
                <w:sz w:val="17"/>
              </w:rPr>
              <w:t>Ensure changes do not break prior behavior</w:t>
            </w:r>
          </w:p>
        </w:tc>
        <w:tc>
          <w:tcPr>
            <w:tcW w:type="dxa" w:w="3264"/>
            <w:vAlign w:val="center"/>
          </w:tcPr>
          <w:p>
            <w:r>
              <w:rPr>
                <w:sz w:val="17"/>
              </w:rPr>
              <w:t>Rerun baseline cases</w:t>
            </w:r>
          </w:p>
        </w:tc>
      </w:tr>
    </w:tbl>
    <w:p>
      <w:r>
        <w:t>Testing is successful when the implementation meets both functional requirements and data-quality expectations.</w:t>
      </w:r>
    </w:p>
    <w:p>
      <w:pPr>
        <w:pStyle w:val="Heading1"/>
      </w:pPr>
      <w:r>
        <w:t>20. Results and Expected Outcomes</w:t>
      </w:r>
    </w:p>
    <w:p>
      <w:r>
        <w:t>Because this is a synthetic academic implementation, the results are evaluated against predefined functional and data-quality criteria rather than real client production metrics.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sz w:val="17"/>
              </w:rPr>
              <w:t>Objective</w:t>
            </w:r>
          </w:p>
        </w:tc>
        <w:tc>
          <w:tcPr>
            <w:tcW w:type="dxa" w:w="4896"/>
            <w:vAlign w:val="center"/>
          </w:tcPr>
          <w:p>
            <w:r>
              <w:rPr>
                <w:b/>
                <w:sz w:val="17"/>
              </w:rPr>
              <w:t>Expected Result</w:t>
            </w:r>
          </w:p>
        </w:tc>
      </w:tr>
      <w:tr>
        <w:tc>
          <w:tcPr>
            <w:tcW w:type="dxa" w:w="4896"/>
            <w:vAlign w:val="center"/>
          </w:tcPr>
          <w:p>
            <w:r>
              <w:rPr>
                <w:sz w:val="17"/>
              </w:rPr>
              <w:t>SQL conversion</w:t>
            </w:r>
          </w:p>
        </w:tc>
        <w:tc>
          <w:tcPr>
            <w:tcW w:type="dxa" w:w="4896"/>
            <w:vAlign w:val="center"/>
          </w:tcPr>
          <w:p>
            <w:r>
              <w:rPr>
                <w:sz w:val="17"/>
              </w:rPr>
              <w:t>Legacy query behavior reproduced in Databricks</w:t>
            </w:r>
          </w:p>
        </w:tc>
      </w:tr>
      <w:tr>
        <w:tc>
          <w:tcPr>
            <w:tcW w:type="dxa" w:w="4896"/>
            <w:vAlign w:val="center"/>
          </w:tcPr>
          <w:p>
            <w:r>
              <w:rPr>
                <w:sz w:val="17"/>
              </w:rPr>
              <w:t>Data validation</w:t>
            </w:r>
          </w:p>
        </w:tc>
        <w:tc>
          <w:tcPr>
            <w:tcW w:type="dxa" w:w="4896"/>
            <w:vAlign w:val="center"/>
          </w:tcPr>
          <w:p>
            <w:r>
              <w:rPr>
                <w:sz w:val="17"/>
              </w:rPr>
              <w:t>Source and target reconciliation completed</w:t>
            </w:r>
          </w:p>
        </w:tc>
      </w:tr>
      <w:tr>
        <w:tc>
          <w:tcPr>
            <w:tcW w:type="dxa" w:w="4896"/>
            <w:vAlign w:val="center"/>
          </w:tcPr>
          <w:p>
            <w:r>
              <w:rPr>
                <w:sz w:val="17"/>
              </w:rPr>
              <w:t>PIVOT</w:t>
            </w:r>
          </w:p>
        </w:tc>
        <w:tc>
          <w:tcPr>
            <w:tcW w:type="dxa" w:w="4896"/>
            <w:vAlign w:val="center"/>
          </w:tcPr>
          <w:p>
            <w:r>
              <w:rPr>
                <w:sz w:val="17"/>
              </w:rPr>
              <w:t>Equivalent business totals after reshaping</w:t>
            </w:r>
          </w:p>
        </w:tc>
      </w:tr>
      <w:tr>
        <w:tc>
          <w:tcPr>
            <w:tcW w:type="dxa" w:w="4896"/>
            <w:vAlign w:val="center"/>
          </w:tcPr>
          <w:p>
            <w:r>
              <w:rPr>
                <w:sz w:val="17"/>
              </w:rPr>
              <w:t>PySpark</w:t>
            </w:r>
          </w:p>
        </w:tc>
        <w:tc>
          <w:tcPr>
            <w:tcW w:type="dxa" w:w="4896"/>
            <w:vAlign w:val="center"/>
          </w:tcPr>
          <w:p>
            <w:r>
              <w:rPr>
                <w:sz w:val="17"/>
              </w:rPr>
              <w:t>Distributed transformation executes successfully</w:t>
            </w:r>
          </w:p>
        </w:tc>
      </w:tr>
      <w:tr>
        <w:tc>
          <w:tcPr>
            <w:tcW w:type="dxa" w:w="4896"/>
            <w:vAlign w:val="center"/>
          </w:tcPr>
          <w:p>
            <w:r>
              <w:rPr>
                <w:sz w:val="17"/>
              </w:rPr>
              <w:t>Unity Catalog</w:t>
            </w:r>
          </w:p>
        </w:tc>
        <w:tc>
          <w:tcPr>
            <w:tcW w:type="dxa" w:w="4896"/>
            <w:vAlign w:val="center"/>
          </w:tcPr>
          <w:p>
            <w:r>
              <w:rPr>
                <w:sz w:val="17"/>
              </w:rPr>
              <w:t>Target objects follow catalog/schema conventions</w:t>
            </w:r>
          </w:p>
        </w:tc>
      </w:tr>
      <w:tr>
        <w:tc>
          <w:tcPr>
            <w:tcW w:type="dxa" w:w="4896"/>
            <w:vAlign w:val="center"/>
          </w:tcPr>
          <w:p>
            <w:r>
              <w:rPr>
                <w:sz w:val="17"/>
              </w:rPr>
              <w:t>Workflow</w:t>
            </w:r>
          </w:p>
        </w:tc>
        <w:tc>
          <w:tcPr>
            <w:tcW w:type="dxa" w:w="4896"/>
            <w:vAlign w:val="center"/>
          </w:tcPr>
          <w:p>
            <w:r>
              <w:rPr>
                <w:sz w:val="17"/>
              </w:rPr>
              <w:t>Scheduled processing executes in correct dependency order</w:t>
            </w:r>
          </w:p>
        </w:tc>
      </w:tr>
      <w:tr>
        <w:tc>
          <w:tcPr>
            <w:tcW w:type="dxa" w:w="4896"/>
            <w:vAlign w:val="center"/>
          </w:tcPr>
          <w:p>
            <w:r>
              <w:rPr>
                <w:sz w:val="17"/>
              </w:rPr>
              <w:t>File delivery</w:t>
            </w:r>
          </w:p>
        </w:tc>
        <w:tc>
          <w:tcPr>
            <w:tcW w:type="dxa" w:w="4896"/>
            <w:vAlign w:val="center"/>
          </w:tcPr>
          <w:p>
            <w:r>
              <w:rPr>
                <w:sz w:val="17"/>
              </w:rPr>
              <w:t>Expected output is generated and transferred</w:t>
            </w:r>
          </w:p>
        </w:tc>
      </w:tr>
      <w:tr>
        <w:tc>
          <w:tcPr>
            <w:tcW w:type="dxa" w:w="4896"/>
            <w:vAlign w:val="center"/>
          </w:tcPr>
          <w:p>
            <w:r>
              <w:rPr>
                <w:sz w:val="17"/>
              </w:rPr>
              <w:t>Git</w:t>
            </w:r>
          </w:p>
        </w:tc>
        <w:tc>
          <w:tcPr>
            <w:tcW w:type="dxa" w:w="4896"/>
            <w:vAlign w:val="center"/>
          </w:tcPr>
          <w:p>
            <w:r>
              <w:rPr>
                <w:sz w:val="17"/>
              </w:rPr>
              <w:t>All implementation changes are traceable</w:t>
            </w:r>
          </w:p>
        </w:tc>
      </w:tr>
    </w:tbl>
    <w:p>
      <w:r>
        <w:t>The key architectural result is a repeatable migration pattern that separates conversion, remediation, validation, orchestration, and deployment.</w:t>
      </w:r>
    </w:p>
    <w:p>
      <w:pPr>
        <w:pStyle w:val="Heading1"/>
      </w:pPr>
      <w:r>
        <w:t>21. Limitations</w:t>
      </w:r>
    </w:p>
    <w:p>
      <w:pPr>
        <w:pStyle w:val="ListBullet"/>
      </w:pPr>
      <w:r>
        <w:t>Synthetic data does not represent the scale or complexity of a production healthcare environment.</w:t>
      </w:r>
    </w:p>
    <w:p>
      <w:pPr>
        <w:pStyle w:val="ListBullet"/>
      </w:pPr>
      <w:r>
        <w:t>Performance results will differ from a real production cluster.</w:t>
      </w:r>
    </w:p>
    <w:p>
      <w:pPr>
        <w:pStyle w:val="ListBullet"/>
      </w:pPr>
      <w:r>
        <w:t>The Argo configuration is a conceptual implementation and may require environment-specific fields.</w:t>
      </w:r>
    </w:p>
    <w:p>
      <w:pPr>
        <w:pStyle w:val="ListBullet"/>
      </w:pPr>
      <w:r>
        <w:t>Cloud networking, identity management, and enterprise security are represented conceptually.</w:t>
      </w:r>
    </w:p>
    <w:p>
      <w:pPr>
        <w:pStyle w:val="ListBullet"/>
      </w:pPr>
      <w:r>
        <w:t>Automated SQL conversion behavior varies by workload and tool version.</w:t>
      </w:r>
    </w:p>
    <w:p>
      <w:pPr>
        <w:pStyle w:val="ListBullet"/>
      </w:pPr>
      <w:r>
        <w:t>Production migration requires detailed discovery of dependencies, SLAs, recovery requirements, and governance controls.</w:t>
      </w:r>
    </w:p>
    <w:p>
      <w:pPr>
        <w:pStyle w:val="Heading1"/>
      </w:pPr>
      <w:r>
        <w:t>22. Future Enhancements</w:t>
      </w:r>
    </w:p>
    <w:p>
      <w:pPr>
        <w:pStyle w:val="ListNumber"/>
      </w:pPr>
      <w:r>
        <w:t>Introduce automated schema-drift detection.</w:t>
      </w:r>
    </w:p>
    <w:p>
      <w:pPr>
        <w:pStyle w:val="ListNumber"/>
      </w:pPr>
      <w:r>
        <w:t>Add automated source-to-target reconciliation reports.</w:t>
      </w:r>
    </w:p>
    <w:p>
      <w:pPr>
        <w:pStyle w:val="ListNumber"/>
      </w:pPr>
      <w:r>
        <w:t>Implement data-quality thresholds and alerting.</w:t>
      </w:r>
    </w:p>
    <w:p>
      <w:pPr>
        <w:pStyle w:val="ListNumber"/>
      </w:pPr>
      <w:r>
        <w:t>Add CI/CD automation for SQL, PySpark, and workflow validation.</w:t>
      </w:r>
    </w:p>
    <w:p>
      <w:pPr>
        <w:pStyle w:val="ListNumber"/>
      </w:pPr>
      <w:r>
        <w:t>Introduce data lineage and impact analysis.</w:t>
      </w:r>
    </w:p>
    <w:p>
      <w:pPr>
        <w:pStyle w:val="ListNumber"/>
      </w:pPr>
      <w:r>
        <w:t>Implement stronger workflow observability and SLA monitoring.</w:t>
      </w:r>
    </w:p>
    <w:p>
      <w:pPr>
        <w:pStyle w:val="ListNumber"/>
      </w:pPr>
      <w:r>
        <w:t>Add automated rollback and recovery patterns.</w:t>
      </w:r>
    </w:p>
    <w:p>
      <w:pPr>
        <w:pStyle w:val="ListNumber"/>
      </w:pPr>
      <w:r>
        <w:t>Evaluate Delta Lake optimization and partition/file-layout strategies.</w:t>
      </w:r>
    </w:p>
    <w:p>
      <w:pPr>
        <w:pStyle w:val="ListNumber"/>
      </w:pPr>
      <w:r>
        <w:t>Extend the architecture with incremental and CDC-based ingestion.</w:t>
      </w:r>
    </w:p>
    <w:p>
      <w:pPr>
        <w:pStyle w:val="ListNumber"/>
      </w:pPr>
      <w:r>
        <w:t>Introduce role-based governance and environment-specific access policies.</w:t>
      </w:r>
    </w:p>
    <w:p>
      <w:pPr>
        <w:pStyle w:val="Heading1"/>
      </w:pPr>
      <w:r>
        <w:t>23. Conclusion</w:t>
      </w:r>
    </w:p>
    <w:p>
      <w:r>
        <w:t>This project demonstrates how a legacy SQL Server data-processing environment can be modernized into a cloud-oriented Databricks architecture while maintaining a strong focus on functional equivalence, data quality, governance, orchestration, and operational reliability.</w:t>
      </w:r>
    </w:p>
    <w:p>
      <w:r>
        <w:t>The central lesson is that migration is not equivalent to syntax translation. SQL constructs must be understood in terms of their business meaning; target objects must be mapped correctly; data must be reconciled at multiple levels; and scheduling and downstream file delivery must be redesigned as part of the overall platform.</w:t>
      </w:r>
    </w:p>
    <w:p>
      <w:r>
        <w:t>The combination of Databricks, PySpark, Unity Catalog, migration acceleration, Argo CronWorkflow, Git, and systematic validation provides a strong foundation for a scalable and maintainable data-engineering architecture. The synthetic implementation also provides a safe public demonstration of the engineering principles without exposing confidential information.</w:t>
      </w:r>
    </w:p>
    <w:p>
      <w:pPr>
        <w:pStyle w:val="Heading1"/>
      </w:pPr>
      <w:r>
        <w:t>24. Interview / Viva Preparation</w:t>
      </w:r>
    </w:p>
    <w:p>
      <w:pPr>
        <w:pStyle w:val="Heading3"/>
      </w:pPr>
      <w:r>
        <w:t>Question: Why migrate SQL Server workloads to Databricks?</w:t>
      </w:r>
    </w:p>
    <w:p>
      <w:r>
        <w:t>Answer: The goal is to modernize data processing for scalable distributed workloads, cloud-based analytics, centralized governance, and more flexible data engineering. The exact benefits depend on workload and organizational architecture.</w:t>
      </w:r>
    </w:p>
    <w:p>
      <w:pPr>
        <w:pStyle w:val="Heading3"/>
      </w:pPr>
      <w:r>
        <w:t>Question: Why was Lakebridge used?</w:t>
      </w:r>
    </w:p>
    <w:p>
      <w:r>
        <w:t>Answer: It accelerates initial SQL conversion and reduces repetitive migration effort. However, automated output still requires manual remediation and validation.</w:t>
      </w:r>
    </w:p>
    <w:p>
      <w:pPr>
        <w:pStyle w:val="Heading3"/>
      </w:pPr>
      <w:r>
        <w:t>Question: What is the biggest risk in SQL migration?</w:t>
      </w:r>
    </w:p>
    <w:p>
      <w:r>
        <w:t>Answer: Semantic differences. A query may run successfully but produce different results because of joins, NULL behavior, functions, data types, date logic, aggregation, or PIVOT behavior.</w:t>
      </w:r>
    </w:p>
    <w:p>
      <w:pPr>
        <w:pStyle w:val="Heading3"/>
      </w:pPr>
      <w:r>
        <w:t>Question: How do you validate migration correctness?</w:t>
      </w:r>
    </w:p>
    <w:p>
      <w:r>
        <w:t>Answer: Use multiple checks: schema, row counts, distinct counts, duplicates, NULLs, joins, filters, sample records, aggregates, and business distributions.</w:t>
      </w:r>
    </w:p>
    <w:p>
      <w:pPr>
        <w:pStyle w:val="Heading3"/>
      </w:pPr>
      <w:r>
        <w:t>Question: Why can a LEFT JOIN increase row count?</w:t>
      </w:r>
    </w:p>
    <w:p>
      <w:r>
        <w:t>Answer: Because the right-side key may not be unique, allowing one left row to match multiple right rows.</w:t>
      </w:r>
    </w:p>
    <w:p>
      <w:pPr>
        <w:pStyle w:val="Heading3"/>
      </w:pPr>
      <w:r>
        <w:t>Question: What is PIVOT?</w:t>
      </w:r>
    </w:p>
    <w:p>
      <w:r>
        <w:t>Answer: A transformation that turns values from rows into columns while applying an aggregation.</w:t>
      </w:r>
    </w:p>
    <w:p>
      <w:pPr>
        <w:pStyle w:val="Heading3"/>
      </w:pPr>
      <w:r>
        <w:t>Question: What is Unity Catalog?</w:t>
      </w:r>
    </w:p>
    <w:p>
      <w:r>
        <w:t>Answer: A Databricks governance and metadata layer that provides organized namespaces and centralized access control for supported data assets.</w:t>
      </w:r>
    </w:p>
    <w:p>
      <w:pPr>
        <w:pStyle w:val="Heading3"/>
      </w:pPr>
      <w:r>
        <w:t>Question: What is lazy evaluation in Spark?</w:t>
      </w:r>
    </w:p>
    <w:p>
      <w:r>
        <w:t>Answer: Transformations build an execution plan and are evaluated when an action requires a result.</w:t>
      </w:r>
    </w:p>
    <w:p>
      <w:pPr>
        <w:pStyle w:val="Heading3"/>
      </w:pPr>
      <w:r>
        <w:t>Question: What is a shuffle?</w:t>
      </w:r>
    </w:p>
    <w:p>
      <w:r>
        <w:t>Answer: A redistribution of data across partitions, commonly caused by grouping, distinct, sorting, and joins.</w:t>
      </w:r>
    </w:p>
    <w:p>
      <w:pPr>
        <w:pStyle w:val="Heading3"/>
      </w:pPr>
      <w:r>
        <w:t>Question: What is a CronWorkflow?</w:t>
      </w:r>
    </w:p>
    <w:p>
      <w:r>
        <w:t>Answer: An Argo resource that schedules workflow execution using a recurring cron schedule.</w:t>
      </w:r>
    </w:p>
    <w:p>
      <w:pPr>
        <w:pStyle w:val="Heading3"/>
      </w:pPr>
      <w:r>
        <w:t>Question: How would you troubleshoot a failed workflow?</w:t>
      </w:r>
    </w:p>
    <w:p>
      <w:r>
        <w:t>Answer: Start with the exact error and failing task, classify the failure, inspect recent changes and configuration, reproduce safely, implement a targeted fix, validate the output, and monitor the rerun.</w:t>
      </w:r>
    </w:p>
    <w:p>
      <w:pPr>
        <w:pStyle w:val="Heading3"/>
      </w:pPr>
      <w:r>
        <w:t>Question: Why should a public portfolio use synthetic data?</w:t>
      </w:r>
    </w:p>
    <w:p>
      <w:r>
        <w:t>Answer: It demonstrates technical capability without exposing client-owned data, proprietary code, credentials, or confidential infrastructure.</w:t>
      </w:r>
    </w:p>
    <w:p>
      <w:pPr>
        <w:pStyle w:val="Heading1"/>
      </w:pPr>
      <w:r>
        <w:t>25. References and Appendix</w:t>
      </w:r>
    </w:p>
    <w:p>
      <w:r>
        <w:t>The following are recommended authoritative references for extending this academic implementation. Accessed documentation should be cited according to the university's required citation style.</w:t>
      </w:r>
    </w:p>
    <w:p>
      <w:pPr>
        <w:pStyle w:val="ListBullet"/>
      </w:pPr>
      <w:r>
        <w:t>Apache Spark Documentation — Spark SQL, DataFrames, transformations, actions, joins and performance concepts.</w:t>
      </w:r>
    </w:p>
    <w:p>
      <w:pPr>
        <w:pStyle w:val="ListBullet"/>
      </w:pPr>
      <w:r>
        <w:t>Databricks Documentation — Databricks SQL, PySpark, Delta Lake and Unity Catalog.</w:t>
      </w:r>
    </w:p>
    <w:p>
      <w:pPr>
        <w:pStyle w:val="ListBullet"/>
      </w:pPr>
      <w:r>
        <w:t>Argo Workflows Documentation — Workflows, CronWorkflows, parameters, steps and DAGs.</w:t>
      </w:r>
    </w:p>
    <w:p>
      <w:pPr>
        <w:pStyle w:val="ListBullet"/>
      </w:pPr>
      <w:r>
        <w:t>Git Documentation — branching, commits, merge and version control concepts.</w:t>
      </w:r>
    </w:p>
    <w:p>
      <w:pPr>
        <w:pStyle w:val="ListBullet"/>
      </w:pPr>
      <w:r>
        <w:t>Microsoft SQL Server Documentation — SQL Server, T-SQL, views, joins, PIVOT and stored procedures.</w:t>
      </w:r>
    </w:p>
    <w:p>
      <w:pPr>
        <w:pStyle w:val="Heading2"/>
      </w:pPr>
      <w:r>
        <w:t>Appendix A — Repository Evidence</w:t>
      </w:r>
    </w:p>
    <w:p>
      <w:r>
        <w:t>The public portfolio repository is intended to contain the synthetic implementation described in this report. The repository should contain README.md plus separate SQL, PySpark, validation, Argo, sample-data, and architecture directories.</w:t>
      </w:r>
    </w:p>
    <w:p>
      <w:r>
        <w:drawing>
          <wp:inline xmlns:a="http://schemas.openxmlformats.org/drawingml/2006/main" xmlns:pic="http://schemas.openxmlformats.org/drawingml/2006/picture">
            <wp:extent cx="5669280" cy="2756826"/>
            <wp:docPr id="2" name="Picture 2"/>
            <wp:cNvGraphicFramePr>
              <a:graphicFrameLocks noChangeAspect="1"/>
            </wp:cNvGraphicFramePr>
            <a:graphic>
              <a:graphicData uri="http://schemas.openxmlformats.org/drawingml/2006/picture">
                <pic:pic>
                  <pic:nvPicPr>
                    <pic:cNvPr id="0" name="Screenshot 2026-10-09 at 12.44.19 PM.png"/>
                    <pic:cNvPicPr/>
                  </pic:nvPicPr>
                  <pic:blipFill>
                    <a:blip r:embed="rId10"/>
                    <a:stretch>
                      <a:fillRect/>
                    </a:stretch>
                  </pic:blipFill>
                  <pic:spPr>
                    <a:xfrm>
                      <a:off x="0" y="0"/>
                      <a:ext cx="5669280" cy="2756826"/>
                    </a:xfrm>
                    <a:prstGeom prst="rect"/>
                  </pic:spPr>
                </pic:pic>
              </a:graphicData>
            </a:graphic>
          </wp:inline>
        </w:drawing>
      </w:r>
    </w:p>
    <w:p>
      <w:pPr>
        <w:pStyle w:val="CaptionCustom"/>
      </w:pPr>
      <w:r>
        <w:t>Figure A1. Example Git repository presentation showing the project README and repository structure.</w:t>
      </w:r>
    </w:p>
    <w:p>
      <w:pPr>
        <w:pStyle w:val="Heading2"/>
      </w:pPr>
      <w:r>
        <w:t>Appendix B — Suggested Repository Structure</w:t>
      </w:r>
    </w:p>
    <w:p>
      <w:pPr>
        <w:pStyle w:val="Code"/>
      </w:pPr>
      <w:r>
        <w:t>sql-server-to-databricks-migration-portfolio/</w:t>
        <w:br/>
        <w:t>|</w:t>
        <w:br/>
        <w:t>|-- README.md</w:t>
        <w:br/>
        <w:t>|-- sql-migration/</w:t>
        <w:br/>
        <w:t>|   |-- sql-server-example.sql</w:t>
        <w:br/>
        <w:t>|   |-- databricks-sql-example.sql</w:t>
        <w:br/>
        <w:t>|   `-- pivot-example.sql</w:t>
        <w:br/>
        <w:t>|</w:t>
        <w:br/>
        <w:t>|-- pyspark/</w:t>
        <w:br/>
        <w:t>|   |-- etl-example.py</w:t>
        <w:br/>
        <w:t>|   `-- validation-example.py</w:t>
        <w:br/>
        <w:t>|</w:t>
        <w:br/>
        <w:t>|-- validation/</w:t>
        <w:br/>
        <w:t>|   `-- reconciliation.sql</w:t>
        <w:br/>
        <w:t>|</w:t>
        <w:br/>
        <w:t>|-- argo/</w:t>
        <w:br/>
        <w:t>|   `-- cronworkflow-example.yaml</w:t>
        <w:br/>
        <w:t>|</w:t>
        <w:br/>
        <w:t>|-- sample-data/</w:t>
        <w:br/>
        <w:t>|   `-- synthetic-claims.csv</w:t>
        <w:br/>
        <w:t>|</w:t>
        <w:br/>
        <w:t>`-- architecture/</w:t>
        <w:br/>
        <w:t xml:space="preserve">    `-- migration-architecture.png</w:t>
        <w:br/>
      </w:r>
    </w:p>
    <w:sectPr w:rsidR="00FC693F" w:rsidRPr="0006063C" w:rsidSect="00034616">
      <w:footerReference w:type="default" r:id="rId11"/>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Master's Project — Healthcare Data Platform Modernization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360"/>
    </w:pPr>
    <w:rPr>
      <w:rFonts w:ascii="Courier New" w:hAnsi="Courier New"/>
      <w:sz w:val="17"/>
    </w:rPr>
  </w:style>
  <w:style w:type="paragraph" w:customStyle="1" w:styleId="CaptionCustom">
    <w:name w:val="Caption Custom"/>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