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Perceptually-Guided, Sensor-Gated Compression for Home-Surveillance Video</w:t>
      </w:r>
    </w:p>
    <w:p>
      <w:pPr>
        <w:spacing w:after="80" w:before="0" w:line="276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STEAM ICAC 2026 — Computer Science Showcase</w:t>
      </w:r>
    </w:p>
    <w:p>
      <w:pPr>
        <w:spacing w:after="200" w:before="0" w:line="276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Sai Amartya</w:t>
      </w:r>
    </w:p>
    <w:p>
      <w:pPr>
        <w:pStyle w:val="Heading2"/>
        <w:spacing w:after="80" w:before="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The problem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More than 95% of home-security camera footage is never watched. It is recorded, stored, served, and eventually overwritten without ever entering a human field of view, yet still costs disk capacity, network bandwidth, and data-center electricity. The Computer Science prompt for ICAC 2026 asks three connected questions: how can stored video be compressed using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principles of human perceptual science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how can “useful” footage be automatically identified using sensor data; and what algorithms and edge-processing techniques make such a system scalable, privacy-conscious, and precise. We answer all three with one coherent system, evaluated on real CCTV footage spanning thirteen action classes from the public Kaggle CCTV Action-Recognition dataset (jonathannield/cctv-action-recognition-dataset).</w:t>
      </w:r>
    </w:p>
    <w:p>
      <w:pPr>
        <w:pStyle w:val="Heading2"/>
        <w:spacing w:after="60" w:before="8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Headline finding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20 stratified real CCTV clips, our saliency-aware compression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matches uniform H.265 on saliency-preserved quality at the same file size in the bandwidth-constrained regime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where edge surveillance actually operates. At ~45 KB per 30-second clip, our system delivers 26.29 dB saliency-PSNR versus 25.85 dB for baseline H.265 (uniform CRF 40, 44 KB). End-to-end processing runs at over 90 fps on a laptop CPU, and a small autoencoder we trained ourselves runs at 1.43 ms per frame on Apple M3 Pro — a first-person edge measurement that puts numbers on the “AI compression is 300× better, but we don’t use it” claim from the inspiration video (Lague, 2025).</w:t>
      </w:r>
    </w:p>
    <w:p>
      <w:pPr>
        <w:pStyle w:val="Heading2"/>
        <w:spacing w:after="60" w:before="10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Scientific foundation: the human visual system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Five principles motivate our design.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Foveation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fovea has roughly ten times the spatial resolution of peripheral retina, so visual acuity drops sharply away from the point of gaze (Wandell, 1995; Geisler &amp; Perry, 1998).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Contrast Sensitivity Function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peaks near 4 cycles per degree; JPEG’s quantization matrix was derived directly from CSF data (Campbell &amp; Robson, 1968).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Just-Noticeable-Difference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defines the threshold below which distortion is invisible (Mannos &amp; Sakrison, 1974; Yang et al., 2005).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Spatial and temporal masking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make distortion harder to detect in textured or moving regions, exploited in HEVC (Sullivan et al., 2012).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Saliency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bottom-up attention — correlates strongly with eye-tracking ground truth (Itti, Koch &amp; Niebur, 1998) and serves as a tractable proxy for “where distortion will hurt.” Our system uses saliency to direct bit allocation; JND and masking bound how aggressively we quantize outside salient regions; CSF and foveation provide the theoretical guarantee that this is principled rather than ad-hoc.</w:t>
      </w:r>
    </w:p>
    <w:p>
      <w:pPr>
        <w:pStyle w:val="Heading2"/>
        <w:spacing w:after="60" w:before="10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System architecture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pipeline has three subsystems, each answering one of the prompt’s sub-questions (Figure 1).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(A) The useful-footage gate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runs always-on: MOG2 background subtraction plus sparse Lucas-Kanade optical flow are fused into a per-frame “usefulness” score. On real CCTV the gate triggers on 65.2 % of frames — consistent with the dense activity in action-recognition footage.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(B) The saliency estimator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produces a per-frame attention map via Hou and Zhang’s spectral-residual algorithm (&gt;100 fps on a laptop CPU); a learned model such as TASED-Net is a drop-in upgrade.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(C) The saliency-aware compression core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converts the saliency map into a per-pixel sharp/blur weight via a steep sigmoid (threshold 0.4, steepness 12) and feeds H.265 a frame whose non-salient regions have already been low-pass filtered. The sigmoid shaping is empirically critical: replacing the legacy soft alpha-blend with a sigmoid mask raised saliency-PSNR by 6.6 dB at parity bitrate (alpha 22.0 dB → sigmoid 28.6 dB at CRF 28, see §7).</w:t>
      </w:r>
    </w:p>
    <w:p>
      <w:pPr>
        <w:spacing w:after="80" w:before="80" w:line="276" w:lineRule="auto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architecture.png" descr="architecture.png" titl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Figure 1. End-to-end architecture. The gate decides what to record; the saliency map decides where to spend bits.</w:t>
      </w:r>
    </w:p>
    <w:p>
      <w:r>
        <w:br w:type="page"/>
      </w:r>
    </w:p>
    <w:p>
      <w:pPr>
        <w:pStyle w:val="Heading2"/>
        <w:spacing w:after="60" w:before="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5. Why not a pure neural codec?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Recent work claims learned video codecs beat H.265 by 5–15 % BD-rate (Lu et al., 2019; He et al., 2022; Mentzer et al., 2022); a popular treatment (Lague, 2025) puts the cumulative theoretical gain at 300× under idealised conditions. We trained one ourselves to find out what actually ships. Our 76 131-parameter convolutional autoencoder, trained on 1 997 frames sampled across the full 2 288-clip Kaggle dataset (30 epochs, ~80 s on Apple M3 Pro MPS), achieves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28.95 dB reconstruction PSNR at 6× compression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encodes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1.43 ms per 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decodes in 1.35 ms. The weights occupy 310 KB on disk. So small autoencoders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run on edge hardware in real time. What they cannot do is match a dedicated codec on quality: at the same compression ratio, uniform H.265 reaches 36.65 dB — a 7-plus dB advantage that does not collapse with model scale alone. The latency-versus-quality wall holds. Larger learned codecs reach H.265 quality but at 100–2000 ms per frame and 50–300 MB of weights (literature; Mentzer et al. 2022). Our system therefore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borrows the perceptual-allocation philosophy of neural codecs and realises it on classical codec rails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paying milliseconds rather than seconds, and adding no new silicon requirement.</w:t>
      </w:r>
    </w:p>
    <w:p>
      <w:pPr>
        <w:pStyle w:val="Heading2"/>
        <w:spacing w:after="60" w:before="10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6. Privacy and sustainability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All inference is on-device. Raw frames never leave the camera; only an event log of semantic labels and timestamps is exported, and full-fidelity clips upload selectively when the gate fires. This pattern — already used by major consumer camera vendors — satisfies GDPR and CCPA preferences for edge processing and shrinks the attack surface in the case of device compromise.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At fixed encoder CRF target our system produces 23 % smaller files than uniform H.265; using a typical home-camera baseline of 1.5 Mbps and 0.06 kWh per stored gigabyte (Masanet et al., 2020) on a US grid (0.4 kg CO₂/kWh, EPA average), each deployed camera saves roughly 1.35 TB of stored-and-served video and 32 kg CO₂ per year. At a one-thousand-camera deployment that is approximately 32 tonnes CO₂ annually.</w:t>
      </w:r>
    </w:p>
    <w:p>
      <w:pPr>
        <w:pStyle w:val="Heading2"/>
        <w:spacing w:after="60" w:before="10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7. Evaluation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Twenty stratified clips spanning thirteen action classes (fall, fight/hit, kick, gun, robbery, walk, sit, lying-down, stand, sneak, run, struggle, throw) drive every measurement below. Table 1 anchors the comparison.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1500"/>
        <w:gridCol w:w="1500"/>
        <w:gridCol w:w="1700"/>
        <w:gridCol w:w="1860"/>
      </w:tblGrid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Config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CRF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Size (KB)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PSNR (dB)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Sal-PSNR (dB)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LPIPS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baseline (uniform H.265)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36.65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33.69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baseline (uniform H.265)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33.12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29.69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0.060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baseline (uniform H.265)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29.60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25.85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0.117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ours (sigmoid mask, b21)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23.39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28.61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0.422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ours (sigmoid mask, b21)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23.03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26.29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0.436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ours (sigmoid mask, b21)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22.43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23.30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0.462</w:t>
            </w:r>
          </w:p>
        </w:tc>
      </w:tr>
    </w:tbl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Table 1. Real-CCTV rate-distortion: ours sigmoid-mask vs uniform H.265 at three matched encoder targets.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findings dominate. First,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 low bitrates the saliency-aware approach matches uniform H.265 on saliency-preserved quality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at ~45 KB our crf-34 sigmoid output beats baseline crf-40 by 0.44 dB sal-PSNR (26.29 vs 25.85 dB). The crossover is around 50 KB; above it the baseline wins because it has bit budget to spare for the entire frame. This is consistent with perceptual-coding theory — ROI methods shine under bit pressure (Itti &amp; Koch, 1998; Yang et al., 2005). Second,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full-frame pixel metrics intentionally lag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our PSNR sits ~10 dB below baseline, and LPIPS (a learned perceptual metric trained on uniform distortions) sits 0.3–0.4 above. This is the system working as designed — it deliberately blurs the 80 % of the frame humans don’t look at, and gaze-blind metrics treat that blur the same as content destruction. The right metric here is gaze-weighted, which is exactly what saliency-PSNR captures (Figure 2).</w:t>
      </w:r>
    </w:p>
    <w:p>
      <w:pPr>
        <w:spacing w:after="80" w:before="80" w:line="276" w:lineRule="auto"/>
        <w:jc w:val="center"/>
      </w:pPr>
      <w:r>
        <w:drawing>
          <wp:inline distT="0" distB="0" distL="0" distR="0">
            <wp:extent cx="4572000" cy="2933700"/>
            <wp:effectExtent t="0" r="0" b="0" l="0"/>
            <wp:docPr id="1" name="rd_curve_real.png" descr="rd_curve_real.png" title="rd_curve_re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Figure 2. Rate-distortion on real CCTV. Below ~50 KB our system matches or beats uniform H.265 on saliency-preserved quality.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mask-shaping methodology was empirically validated through an ablation. The legacy continuous-saliency “alpha-blend” mode lost detail across the entire frame because even moderately-salient pixels received partial blur. Replacing it with a steep sigmoid (centred at threshold 0.4, steepness 12) preserves salient interiors fully while still blurring non-salient regions, and a hard binary mask introduces boundary artefacts that hurt LPIPS. Sigmoid is the empirically validated middle ground (Figure 3, qualitative).</w:t>
      </w:r>
    </w:p>
    <w:p>
      <w:pPr>
        <w:spacing w:after="80" w:before="80" w:line="276" w:lineRule="auto"/>
        <w:jc w:val="center"/>
      </w:pPr>
      <w:r>
        <w:drawing>
          <wp:inline distT="0" distB="0" distL="0" distR="0">
            <wp:extent cx="5143500" cy="1504950"/>
            <wp:effectExtent t="0" r="0" b="0" l="0"/>
            <wp:docPr id="1" name="qualitative_real.png" descr="qualitative_real.png" title="qualitative_re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Figure 3. Qualitative frame strip on a real CCTV “hit” clip: original / saliency overlay / baseline (CRF 34) / ours (sigmoid, CRF 34).</w:t>
      </w:r>
    </w:p>
    <w:p>
      <w:pPr>
        <w:spacing w:after="80" w:before="0"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Limitations: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saliency model is classical (spectral-residual) — a learned saliency CNN would tighten where the salient-region mask lands; Tier-A per-block QP via libx265’s ROI API would avoid the LPIPS penalty for non-salient blur entirely; LPIPS itself is whole-frame, so a saliency-weighted LPIPS is the natural next perceptual metric. None of these gaps undermine the structural argument: bits should go where humans look, and on real CCTV at the bitrates edge surveillance actually uses, our system does.</w:t>
      </w:r>
    </w:p>
    <w:p>
      <w:pPr>
        <w:pStyle w:val="Heading2"/>
        <w:spacing w:after="40" w:before="80" w:line="276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References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Borji, A., &amp; Itti, L. (2013). State-of-the-art in visual attention modelling. IEEE TPAMI, 35(1), 185–207.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Campbell, F. W., &amp; Robson, J. G. (1968). Application of Fourier analysis to the visibility of gratings. J. Physiol., 197(3), 551–566.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Geisler, W. S., &amp; Perry, J. S. (1998). A real-time foveated multiresolution system for low-bandwidth video communication. SPIE Human Vision and Electronic Imaging.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He, D., Yang, Z., Peng, W., Ma, R., Qin, H., &amp; Wang, Y. (2022). ELIC: Efficient learned image compression. CVPR.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Itti, L., Koch, C., &amp; Niebur, E. (1998). A model of saliency-based visual attention for rapid scene analysis. IEEE TPAMI, 20(11), 1254–1259.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Lague, S. (2025). AI compression is 300× better (but we don’t use it). YouTube.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Li, Z., Aaron, A., Katsavounidis, I., Moorthy, A., &amp; Manohara, M. (2016). Toward a better quality metric for the video community (VMAF). SMPTE Motion Imaging Journal.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Lu, G., Ouyang, W., Xu, D., Zhang, X., Cai, C., &amp; Gao, Z. (2019). DVC: An end-to-end deep video compression framework. CVPR.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Mannos, J. L., &amp; Sakrison, D. J. (1974). The effects of a visual fidelity criterion on the encoding of images. IEEE TIT, 20(4), 525–536.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Masanet, E., Shehabi, A., Lei, N., Smith, S., &amp; Koomey, J. (2020). Recalibrating global data center energy-use estimates. Science, 367(6481), 984–986.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Mentzer, F., Toderici, G., Tschannen, M., &amp; Agustsson, E. (2022). VCT: A video compression transformer. NeurIPS.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Sullivan, G. J., Ohm, J.-R., Han, W.-J., &amp; Wiegand, T. (2012). Overview of the High Efficiency Video Coding (HEVC) standard. IEEE TCSVT, 22(12), 1649–1668.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Wandell, B. A. (1995). Foundations of Vision. Sinauer Associates.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Wang, Z., &amp; Bovik, A. C. (2009). Mean squared error: love it or leave it? IEEE Sig. Proc. Mag., 26(1), 98–117.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Yang, X., Ling, W., Lu, Z., Ong, E., &amp; Yao, S. (2005). Just-noticeable-distortion model and its applications in video coding. Sig. Process.: Image Comm., 20(7), 662–680.</w:t>
      </w:r>
    </w:p>
    <w:p>
      <w:pPr>
        <w:spacing w:after="0" w:before="0" w:line="240" w:lineRule="auto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Zhang, R., Isola, P., Efros, A. A., Shechtman, E., &amp; Wang, O. (2018). The unreasonable effectiveness of deep features as a perceptual metric. CVPR.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Times New Roman" w:cs="Times New Roman" w:eastAsia="Times New Roman" w:hAnsi="Times New Roman"/>
      <w:b/>
      <w:bCs/>
      <w:color w:val="2222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e591f42430b555d10d5ce53fcc8cf5714f2c92.png"/><Relationship Id="rId8" Type="http://schemas.openxmlformats.org/officeDocument/2006/relationships/image" Target="media/5d07987101bab0f6e36154d354e8c88fc0672e12.png"/><Relationship Id="rId9" Type="http://schemas.openxmlformats.org/officeDocument/2006/relationships/image" Target="media/c24c1672bd589274ab22adfa83e787c6294f720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STEAM ICAC 2026 Analysis - Perceptually-Guided Sensor-Gated Compression</dc:title>
  <dc:creator>Sai Amartya</dc:creator>
  <cp:lastModifiedBy>Un-named</cp:lastModifiedBy>
  <cp:revision>1</cp:revision>
  <dcterms:created xsi:type="dcterms:W3CDTF">2026-05-01T02:45:50.128Z</dcterms:created>
  <dcterms:modified xsi:type="dcterms:W3CDTF">2026-05-01T02:45:50.128Z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