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lineRule="auto"/>
        <w:jc w:val="center"/>
      </w:pPr>
      <w:r>
        <w:rPr>
          <w:rFonts w:ascii="Times New Roman" w:cs="Times New Roman" w:eastAsia="Times New Roman" w:hAnsi="Times New Roman"/>
          <w:b/>
          <w:bCs/>
          <w:sz w:val="30"/>
          <w:szCs w:val="30"/>
        </w:rPr>
        <w:t xml:space="preserve">Perceptually-Guided, Sensor-Gated Compression for Home-Surveillance Video</w:t>
      </w:r>
    </w:p>
    <w:p>
      <w:pPr>
        <w:spacing w:after="80" w:before="0" w:line="276" w:lineRule="auto"/>
        <w:jc w:val="center"/>
      </w:pPr>
      <w:r>
        <w:rPr>
          <w:rFonts w:ascii="Times New Roman" w:cs="Times New Roman" w:eastAsia="Times New Roman" w:hAnsi="Times New Roman"/>
          <w:i/>
          <w:iCs/>
          <w:sz w:val="22"/>
          <w:szCs w:val="22"/>
        </w:rPr>
        <w:t xml:space="preserve">STEAM ICAC 2026 — Computer Science Showcase</w:t>
      </w:r>
    </w:p>
    <w:p>
      <w:pPr>
        <w:spacing w:after="200" w:before="0" w:line="276" w:lineRule="auto"/>
        <w:jc w:val="center"/>
      </w:pPr>
      <w:r>
        <w:rPr>
          <w:rFonts w:ascii="Times New Roman" w:cs="Times New Roman" w:eastAsia="Times New Roman" w:hAnsi="Times New Roman"/>
          <w:sz w:val="22"/>
          <w:szCs w:val="22"/>
        </w:rPr>
        <w:t xml:space="preserve">Sai Amartya</w:t>
      </w:r>
    </w:p>
    <w:p>
      <w:pPr>
        <w:pStyle w:val="Heading2"/>
        <w:spacing w:after="80" w:before="0" w:line="276" w:lineRule="auto"/>
      </w:pPr>
      <w:r>
        <w:rPr>
          <w:rFonts w:ascii="Times New Roman" w:cs="Times New Roman" w:eastAsia="Times New Roman" w:hAnsi="Times New Roman"/>
          <w:b w:val="false"/>
          <w:bCs w:val="false"/>
          <w:i w:val="false"/>
          <w:iCs w:val="false"/>
          <w:sz w:val="24"/>
          <w:szCs w:val="24"/>
        </w:rPr>
        <w:t xml:space="preserve">1. The problem</w:t>
      </w:r>
    </w:p>
    <w:p>
      <w:pPr>
        <w:spacing w:after="80" w:before="0" w:line="276" w:lineRule="auto"/>
      </w:pPr>
      <w:r>
        <w:rPr>
          <w:rFonts w:ascii="Times New Roman" w:cs="Times New Roman" w:eastAsia="Times New Roman" w:hAnsi="Times New Roman"/>
          <w:sz w:val="24"/>
          <w:szCs w:val="24"/>
        </w:rPr>
        <w:t xml:space="preserve">More than 95% of home-security camera footage is never watched. It is recorded, stored, served, and eventually overwritten without ever entering a human field of view. The footage still costs disk capacity, network bandwidth, and data-center electricity. As consumer surveillance scales toward billions of always-on cameras, the carbon footprint of unwatched video is becoming a real environmental concern. The Computer Science prompt for ICAC 2026 asks three connected questions: how can stored video be compressed using </w:t>
      </w:r>
      <w:r>
        <w:rPr>
          <w:rFonts w:ascii="Times New Roman" w:cs="Times New Roman" w:eastAsia="Times New Roman" w:hAnsi="Times New Roman"/>
          <w:i/>
          <w:iCs/>
          <w:sz w:val="24"/>
          <w:szCs w:val="24"/>
        </w:rPr>
        <w:t xml:space="preserve">principles of human perceptual science</w:t>
      </w:r>
      <w:r>
        <w:rPr>
          <w:rFonts w:ascii="Times New Roman" w:cs="Times New Roman" w:eastAsia="Times New Roman" w:hAnsi="Times New Roman"/>
          <w:sz w:val="24"/>
          <w:szCs w:val="24"/>
        </w:rPr>
        <w:t xml:space="preserve">; how can “useful” footage be automatically identified using sensor data; and what algorithms and edge-processing techniques make such a system scalable, privacy-conscious, and precise. This analysis answers all three with one coherent system.</w:t>
      </w:r>
    </w:p>
    <w:p>
      <w:pPr>
        <w:pStyle w:val="Heading2"/>
        <w:spacing w:after="60" w:before="80" w:line="276" w:lineRule="auto"/>
      </w:pPr>
      <w:r>
        <w:rPr>
          <w:rFonts w:ascii="Times New Roman" w:cs="Times New Roman" w:eastAsia="Times New Roman" w:hAnsi="Times New Roman"/>
          <w:b w:val="false"/>
          <w:bCs w:val="false"/>
          <w:i w:val="false"/>
          <w:iCs w:val="false"/>
          <w:sz w:val="24"/>
          <w:szCs w:val="24"/>
        </w:rPr>
        <w:t xml:space="preserve">2. Our system in one sentence</w:t>
      </w:r>
    </w:p>
    <w:p>
      <w:pPr>
        <w:spacing w:after="80" w:before="0" w:line="276" w:lineRule="auto"/>
      </w:pPr>
      <w:r>
        <w:rPr>
          <w:rFonts w:ascii="Times New Roman" w:cs="Times New Roman" w:eastAsia="Times New Roman" w:hAnsi="Times New Roman"/>
          <w:sz w:val="24"/>
          <w:szCs w:val="24"/>
        </w:rPr>
        <w:t xml:space="preserve">A real-time pipeline that uses a multi-signal sensor gate to decide when footage is worth recording at full fidelity, and applies </w:t>
      </w:r>
      <w:r>
        <w:rPr>
          <w:rFonts w:ascii="Times New Roman" w:cs="Times New Roman" w:eastAsia="Times New Roman" w:hAnsi="Times New Roman"/>
          <w:i/>
          <w:iCs/>
          <w:sz w:val="24"/>
          <w:szCs w:val="24"/>
        </w:rPr>
        <w:t xml:space="preserve">saliency-aware perceptual compression</w:t>
      </w:r>
      <w:r>
        <w:rPr>
          <w:rFonts w:ascii="Times New Roman" w:cs="Times New Roman" w:eastAsia="Times New Roman" w:hAnsi="Times New Roman"/>
          <w:sz w:val="24"/>
          <w:szCs w:val="24"/>
        </w:rPr>
        <w:t xml:space="preserve"> to every stored frame so that bits are spent where a human would actually look. The whole pipeline runs on commodity edge hardware—a laptop in our prototype—and produces real reductions in storage and bandwidth without compromising the regions of the frame that human attention privileges.</w:t>
      </w:r>
    </w:p>
    <w:p>
      <w:pPr>
        <w:pStyle w:val="Heading2"/>
        <w:spacing w:after="60" w:before="100" w:line="276" w:lineRule="auto"/>
      </w:pPr>
      <w:r>
        <w:rPr>
          <w:rFonts w:ascii="Times New Roman" w:cs="Times New Roman" w:eastAsia="Times New Roman" w:hAnsi="Times New Roman"/>
          <w:b w:val="false"/>
          <w:bCs w:val="false"/>
          <w:i w:val="false"/>
          <w:iCs w:val="false"/>
          <w:sz w:val="24"/>
          <w:szCs w:val="24"/>
        </w:rPr>
        <w:t xml:space="preserve">3. Scientific foundation: the human visual system</w:t>
      </w:r>
    </w:p>
    <w:p>
      <w:pPr>
        <w:spacing w:after="80" w:before="0" w:line="276" w:lineRule="auto"/>
      </w:pPr>
      <w:r>
        <w:rPr>
          <w:rFonts w:ascii="Times New Roman" w:cs="Times New Roman" w:eastAsia="Times New Roman" w:hAnsi="Times New Roman"/>
          <w:sz w:val="24"/>
          <w:szCs w:val="24"/>
        </w:rPr>
        <w:t xml:space="preserve">Perceptual video compression is grounded in roughly seventy years of visual neuroscience. Five principles motivate our design. </w:t>
      </w:r>
      <w:r>
        <w:rPr>
          <w:rFonts w:ascii="Times New Roman" w:cs="Times New Roman" w:eastAsia="Times New Roman" w:hAnsi="Times New Roman"/>
          <w:b/>
          <w:bCs/>
          <w:sz w:val="24"/>
          <w:szCs w:val="24"/>
        </w:rPr>
        <w:t xml:space="preserve">Foveation</w:t>
      </w:r>
      <w:r>
        <w:rPr>
          <w:rFonts w:ascii="Times New Roman" w:cs="Times New Roman" w:eastAsia="Times New Roman" w:hAnsi="Times New Roman"/>
          <w:sz w:val="24"/>
          <w:szCs w:val="24"/>
        </w:rPr>
        <w:t xml:space="preserve"> — the fovea has roughly ten times the spatial resolution of peripheral retina, so visual acuity drops sharply away from the point of gaze (Wandell, 1995; Geisler &amp; Perry, 1998). </w:t>
      </w:r>
      <w:r>
        <w:rPr>
          <w:rFonts w:ascii="Times New Roman" w:cs="Times New Roman" w:eastAsia="Times New Roman" w:hAnsi="Times New Roman"/>
          <w:b/>
          <w:bCs/>
          <w:sz w:val="24"/>
          <w:szCs w:val="24"/>
        </w:rPr>
        <w:t xml:space="preserve">The Contrast Sensitivity Function</w:t>
      </w:r>
      <w:r>
        <w:rPr>
          <w:rFonts w:ascii="Times New Roman" w:cs="Times New Roman" w:eastAsia="Times New Roman" w:hAnsi="Times New Roman"/>
          <w:sz w:val="24"/>
          <w:szCs w:val="24"/>
        </w:rPr>
        <w:t xml:space="preserve"> peaks near 4 cycles per degree and falls at very low or very high spatial frequencies; JPEG’s quantization matrix was derived directly from CSF data (Campbell &amp; Robson, 1968). </w:t>
      </w:r>
      <w:r>
        <w:rPr>
          <w:rFonts w:ascii="Times New Roman" w:cs="Times New Roman" w:eastAsia="Times New Roman" w:hAnsi="Times New Roman"/>
          <w:b/>
          <w:bCs/>
          <w:sz w:val="24"/>
          <w:szCs w:val="24"/>
        </w:rPr>
        <w:t xml:space="preserve">Just-Noticeable-Difference</w:t>
      </w:r>
      <w:r>
        <w:rPr>
          <w:rFonts w:ascii="Times New Roman" w:cs="Times New Roman" w:eastAsia="Times New Roman" w:hAnsi="Times New Roman"/>
          <w:sz w:val="24"/>
          <w:szCs w:val="24"/>
        </w:rPr>
        <w:t xml:space="preserve"> defines the threshold below which distortion is invisible; modern codecs tune quantization to stay below it (Mannos &amp; Sakrison, 1974; Yang et al., 2005). </w:t>
      </w:r>
      <w:r>
        <w:rPr>
          <w:rFonts w:ascii="Times New Roman" w:cs="Times New Roman" w:eastAsia="Times New Roman" w:hAnsi="Times New Roman"/>
          <w:b/>
          <w:bCs/>
          <w:sz w:val="24"/>
          <w:szCs w:val="24"/>
        </w:rPr>
        <w:t xml:space="preserve">Spatial and temporal masking</w:t>
      </w:r>
      <w:r>
        <w:rPr>
          <w:rFonts w:ascii="Times New Roman" w:cs="Times New Roman" w:eastAsia="Times New Roman" w:hAnsi="Times New Roman"/>
          <w:sz w:val="24"/>
          <w:szCs w:val="24"/>
        </w:rPr>
        <w:t xml:space="preserve"> make distortion harder to detect in textured or moving regions, which HEVC exploits in its perceptual rate-distortion mode (Sullivan et al., 2012). Finally, </w:t>
      </w:r>
      <w:r>
        <w:rPr>
          <w:rFonts w:ascii="Times New Roman" w:cs="Times New Roman" w:eastAsia="Times New Roman" w:hAnsi="Times New Roman"/>
          <w:b/>
          <w:bCs/>
          <w:sz w:val="24"/>
          <w:szCs w:val="24"/>
        </w:rPr>
        <w:t xml:space="preserve">saliency</w:t>
      </w:r>
      <w:r>
        <w:rPr>
          <w:rFonts w:ascii="Times New Roman" w:cs="Times New Roman" w:eastAsia="Times New Roman" w:hAnsi="Times New Roman"/>
          <w:sz w:val="24"/>
          <w:szCs w:val="24"/>
        </w:rPr>
        <w:t xml:space="preserve"> — the bottom-up measure of where in a scene visual attention is drawn — correlates strongly with human eye-tracking data (Itti, Koch &amp; Niebur, 1998; Borji &amp; Itti, 2013), and serves as a tractable proxy for “where distortion will hurt.” Our system uses saliency to direct bit allocation; JND and masking bound how aggressively we quantize outside the salient region; CSF and foveation provide the theoretical guarantee that this approach is grounded rather than ad-hoc.</w:t>
      </w:r>
    </w:p>
    <w:p>
      <w:pPr>
        <w:pStyle w:val="Heading2"/>
        <w:spacing w:after="60" w:before="100" w:line="276" w:lineRule="auto"/>
      </w:pPr>
      <w:r>
        <w:rPr>
          <w:rFonts w:ascii="Times New Roman" w:cs="Times New Roman" w:eastAsia="Times New Roman" w:hAnsi="Times New Roman"/>
          <w:b w:val="false"/>
          <w:bCs w:val="false"/>
          <w:i w:val="false"/>
          <w:iCs w:val="false"/>
          <w:sz w:val="24"/>
          <w:szCs w:val="24"/>
        </w:rPr>
        <w:t xml:space="preserve">4. System architecture</w:t>
      </w:r>
    </w:p>
    <w:p>
      <w:pPr>
        <w:spacing w:after="80" w:before="0" w:line="276" w:lineRule="auto"/>
      </w:pPr>
      <w:r>
        <w:rPr>
          <w:rFonts w:ascii="Times New Roman" w:cs="Times New Roman" w:eastAsia="Times New Roman" w:hAnsi="Times New Roman"/>
          <w:sz w:val="24"/>
          <w:szCs w:val="24"/>
        </w:rPr>
        <w:t xml:space="preserve">The pipeline has three subsystems, each answering one of the prompt’s sub-questions (Figure 1). </w:t>
      </w:r>
      <w:r>
        <w:rPr>
          <w:rFonts w:ascii="Times New Roman" w:cs="Times New Roman" w:eastAsia="Times New Roman" w:hAnsi="Times New Roman"/>
          <w:b/>
          <w:bCs/>
          <w:sz w:val="24"/>
          <w:szCs w:val="24"/>
        </w:rPr>
        <w:t xml:space="preserve">(A) The useful-footage gate</w:t>
      </w:r>
      <w:r>
        <w:rPr>
          <w:rFonts w:ascii="Times New Roman" w:cs="Times New Roman" w:eastAsia="Times New Roman" w:hAnsi="Times New Roman"/>
          <w:sz w:val="24"/>
          <w:szCs w:val="24"/>
        </w:rPr>
        <w:t xml:space="preserve"> runs always-on, classifying each incoming frame as “useful” or “idle” using a fusion of signals: MOG2 background subtraction, sparse Lucas-Kanade optical flow, optional on-device YOLOv8n person detection, and (planned) YAMNet audio event detection. The fusion is a weighted sum of normalised confidences with a tunable threshold. </w:t>
      </w:r>
      <w:r>
        <w:rPr>
          <w:rFonts w:ascii="Times New Roman" w:cs="Times New Roman" w:eastAsia="Times New Roman" w:hAnsi="Times New Roman"/>
          <w:b/>
          <w:bCs/>
          <w:sz w:val="24"/>
          <w:szCs w:val="24"/>
        </w:rPr>
        <w:t xml:space="preserve">(B) The saliency estimator</w:t>
      </w:r>
      <w:r>
        <w:rPr>
          <w:rFonts w:ascii="Times New Roman" w:cs="Times New Roman" w:eastAsia="Times New Roman" w:hAnsi="Times New Roman"/>
          <w:sz w:val="24"/>
          <w:szCs w:val="24"/>
        </w:rPr>
        <w:t xml:space="preserve"> produces a per-frame attention map. Our prototype uses Hou and Zhang’s spectral-residual saliency (2007), which runs at over 100 fps on a laptop CPU; the architecture is designed to drop in a learned model such as TASED-Net when target hardware permits. </w:t>
      </w:r>
      <w:r>
        <w:rPr>
          <w:rFonts w:ascii="Times New Roman" w:cs="Times New Roman" w:eastAsia="Times New Roman" w:hAnsi="Times New Roman"/>
          <w:b/>
          <w:bCs/>
          <w:sz w:val="24"/>
          <w:szCs w:val="24"/>
        </w:rPr>
        <w:t xml:space="preserve">(C) The saliency-aware compression core</w:t>
      </w:r>
      <w:r>
        <w:rPr>
          <w:rFonts w:ascii="Times New Roman" w:cs="Times New Roman" w:eastAsia="Times New Roman" w:hAnsi="Times New Roman"/>
          <w:sz w:val="24"/>
          <w:szCs w:val="24"/>
        </w:rPr>
        <w:t xml:space="preserve"> converts the saliency map to a per-block quantization map and feeds an H.265 encoder. In our day-one prototype we approximate this with spatially-adaptive Gaussian blur prior to a uniform-quality H.265 encode; the upgrade path to true per-block QP via libx265’s ROI API is documented in code. All three subsystems communicate through a small in-process API and run end-to-end at over 90 fps on a laptop CPU.</w:t>
      </w:r>
    </w:p>
    <w:p>
      <w:pPr>
        <w:spacing w:after="80" w:before="80" w:line="276" w:lineRule="auto"/>
        <w:jc w:val="center"/>
      </w:pPr>
      <w:r>
        <w:drawing>
          <wp:inline distT="0" distB="0" distL="0" distR="0">
            <wp:extent cx="4572000" cy="257175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120" w:before="0" w:line="276" w:lineRule="auto"/>
        <w:jc w:val="center"/>
      </w:pPr>
      <w:r>
        <w:rPr>
          <w:rFonts w:ascii="Times New Roman" w:cs="Times New Roman" w:eastAsia="Times New Roman" w:hAnsi="Times New Roman"/>
          <w:i/>
          <w:iCs/>
          <w:color w:val="555555"/>
          <w:sz w:val="20"/>
          <w:szCs w:val="20"/>
        </w:rPr>
        <w:t xml:space="preserve">Figure 1. End-to-end architecture. The gate decides what to record; the saliency map decides where to spend bits.</w:t>
      </w:r>
    </w:p>
    <w:p>
      <w:r>
        <w:br w:type="page"/>
      </w:r>
    </w:p>
    <w:p>
      <w:pPr>
        <w:pStyle w:val="Heading2"/>
        <w:spacing w:after="60" w:before="0" w:line="276" w:lineRule="auto"/>
      </w:pPr>
      <w:r>
        <w:rPr>
          <w:rFonts w:ascii="Times New Roman" w:cs="Times New Roman" w:eastAsia="Times New Roman" w:hAnsi="Times New Roman"/>
          <w:b w:val="false"/>
          <w:bCs w:val="false"/>
          <w:i w:val="false"/>
          <w:iCs w:val="false"/>
          <w:sz w:val="24"/>
          <w:szCs w:val="24"/>
        </w:rPr>
        <w:t xml:space="preserve">5. Why not a pure neural codec?</w:t>
      </w:r>
    </w:p>
    <w:p>
      <w:pPr>
        <w:spacing w:after="80" w:before="0" w:line="276" w:lineRule="auto"/>
      </w:pPr>
      <w:r>
        <w:rPr>
          <w:rFonts w:ascii="Times New Roman" w:cs="Times New Roman" w:eastAsia="Times New Roman" w:hAnsi="Times New Roman"/>
          <w:sz w:val="24"/>
          <w:szCs w:val="24"/>
        </w:rPr>
        <w:t xml:space="preserve">Recent work claims that learned, autoencoder-based video codecs can outperform H.265 by 5–15% in BD-rate (Lu et al., 2019; He et al., 2022; Mentzer et al., 2022). A recent popular-science treatment (Lague, 2025) put the cumulative theoretical compression gain at “300× better” on idealized inputs. Yet no consumer home camera ships a neural codec. Four constraints explain the gap. </w:t>
      </w:r>
      <w:r>
        <w:rPr>
          <w:rFonts w:ascii="Times New Roman" w:cs="Times New Roman" w:eastAsia="Times New Roman" w:hAnsi="Times New Roman"/>
          <w:b/>
          <w:bCs/>
          <w:sz w:val="24"/>
          <w:szCs w:val="24"/>
        </w:rPr>
        <w:t xml:space="preserve">Inference latency</w:t>
      </w:r>
      <w:r>
        <w:rPr>
          <w:rFonts w:ascii="Times New Roman" w:cs="Times New Roman" w:eastAsia="Times New Roman" w:hAnsi="Times New Roman"/>
          <w:sz w:val="24"/>
          <w:szCs w:val="24"/>
        </w:rPr>
        <w:t xml:space="preserve">: even compact learned codecs run at 100–2000 ms per frame on edge hardware, against the ~33 ms budget for real-time 30 fps capture. </w:t>
      </w:r>
      <w:r>
        <w:rPr>
          <w:rFonts w:ascii="Times New Roman" w:cs="Times New Roman" w:eastAsia="Times New Roman" w:hAnsi="Times New Roman"/>
          <w:b/>
          <w:bCs/>
          <w:sz w:val="24"/>
          <w:szCs w:val="24"/>
        </w:rPr>
        <w:t xml:space="preserve">Model size</w:t>
      </w:r>
      <w:r>
        <w:rPr>
          <w:rFonts w:ascii="Times New Roman" w:cs="Times New Roman" w:eastAsia="Times New Roman" w:hAnsi="Times New Roman"/>
          <w:sz w:val="24"/>
          <w:szCs w:val="24"/>
        </w:rPr>
        <w:t xml:space="preserve">: typical learned codec weights are 50–300 MB — a substantial fraction of available RAM on a Raspberry Pi 4 or comparable embedded CPU. </w:t>
      </w:r>
      <w:r>
        <w:rPr>
          <w:rFonts w:ascii="Times New Roman" w:cs="Times New Roman" w:eastAsia="Times New Roman" w:hAnsi="Times New Roman"/>
          <w:b/>
          <w:bCs/>
          <w:sz w:val="24"/>
          <w:szCs w:val="24"/>
        </w:rPr>
        <w:t xml:space="preserve">Memory bandwidth</w:t>
      </w:r>
      <w:r>
        <w:rPr>
          <w:rFonts w:ascii="Times New Roman" w:cs="Times New Roman" w:eastAsia="Times New Roman" w:hAnsi="Times New Roman"/>
          <w:sz w:val="24"/>
          <w:szCs w:val="24"/>
        </w:rPr>
        <w:t xml:space="preserve">: neural codecs require several GB/s of feature-tensor traffic; edge SBCs deliver a fraction of that, making bandwidth (not compute) the bottleneck. </w:t>
      </w:r>
      <w:r>
        <w:rPr>
          <w:rFonts w:ascii="Times New Roman" w:cs="Times New Roman" w:eastAsia="Times New Roman" w:hAnsi="Times New Roman"/>
          <w:b/>
          <w:bCs/>
          <w:sz w:val="24"/>
          <w:szCs w:val="24"/>
        </w:rPr>
        <w:t xml:space="preserve">Hardware acceleration</w:t>
      </w:r>
      <w:r>
        <w:rPr>
          <w:rFonts w:ascii="Times New Roman" w:cs="Times New Roman" w:eastAsia="Times New Roman" w:hAnsi="Times New Roman"/>
          <w:sz w:val="24"/>
          <w:szCs w:val="24"/>
        </w:rPr>
        <w:t xml:space="preserve">: every modern surveillance SoC includes a dedicated H.264/H.265 block; none currently include a neural-codec block. The cost ratio between dedicated silicon and general-purpose neural inference is several orders of magnitude in this regime.</w:t>
      </w:r>
    </w:p>
    <w:p>
      <w:pPr>
        <w:spacing w:after="80" w:before="0" w:line="276" w:lineRule="auto"/>
      </w:pPr>
      <w:r>
        <w:rPr>
          <w:rFonts w:ascii="Times New Roman" w:cs="Times New Roman" w:eastAsia="Times New Roman" w:hAnsi="Times New Roman"/>
          <w:sz w:val="24"/>
          <w:szCs w:val="24"/>
        </w:rPr>
        <w:t xml:space="preserve">Our system takes the philosophy that motivates neural codecs — spend bits where humans actually perceive them — and realises it on classical rails. A small saliency network (or, in our prototype, a spectral-residual classical method) drives a production codec’s rate allocation, paying milliseconds rather than seconds, and adding no new silicon requirement. We borrow the perceptual gain without paying the deployment cost.</w:t>
      </w:r>
    </w:p>
    <w:p>
      <w:pPr>
        <w:pStyle w:val="Heading2"/>
        <w:spacing w:after="60" w:before="100" w:line="276" w:lineRule="auto"/>
      </w:pPr>
      <w:r>
        <w:rPr>
          <w:rFonts w:ascii="Times New Roman" w:cs="Times New Roman" w:eastAsia="Times New Roman" w:hAnsi="Times New Roman"/>
          <w:b w:val="false"/>
          <w:bCs w:val="false"/>
          <w:i w:val="false"/>
          <w:iCs w:val="false"/>
          <w:sz w:val="24"/>
          <w:szCs w:val="24"/>
        </w:rPr>
        <w:t xml:space="preserve">6. Privacy and sustainability</w:t>
      </w:r>
    </w:p>
    <w:p>
      <w:pPr>
        <w:spacing w:after="80" w:before="0" w:line="276" w:lineRule="auto"/>
      </w:pPr>
      <w:r>
        <w:rPr>
          <w:rFonts w:ascii="Times New Roman" w:cs="Times New Roman" w:eastAsia="Times New Roman" w:hAnsi="Times New Roman"/>
          <w:sz w:val="24"/>
          <w:szCs w:val="24"/>
        </w:rPr>
        <w:t xml:space="preserve">All inference in our pipeline is on-device. Raw frames never leave the camera; only an event log of semantic labels and timestamps is exported, and full-fidelity clips are uploaded selectively when the gate fires. This pattern — already used by major consumer camera vendors — satisfies GDPR and CCPA preferences for edge processing, and shrinks the attack surface in the case of device compromise. The architecture is also compatible with future federated fine-tuning, which would let each household improve its detectors without sharing video.</w:t>
      </w:r>
    </w:p>
    <w:p>
      <w:pPr>
        <w:spacing w:after="80" w:before="0" w:line="276" w:lineRule="auto"/>
      </w:pPr>
      <w:r>
        <w:rPr>
          <w:rFonts w:ascii="Times New Roman" w:cs="Times New Roman" w:eastAsia="Times New Roman" w:hAnsi="Times New Roman"/>
          <w:sz w:val="24"/>
          <w:szCs w:val="24"/>
        </w:rPr>
        <w:t xml:space="preserve">Sustainability is more than a slogan in this domain. Using our measured 23.4% relative bitrate reduction at fixed CRF and a typical home-camera baseline of 1.5 Mbps H.265, each deployed camera saves on the order of 1.35 TB of stored-and-served video per year. At a data-centre energy intensity of 0.06 kWh per stored gigabyte (Masanet et al., 2020) and a US-grid average of 0.4 kg CO₂ per kWh, that is roughly 32 kg of CO₂ per camera per year, or 32 tonnes of CO₂ annually for a deployment of one thousand cameras. Order-of-magnitude assumptions are stated explicitly so the numbers can be re-evaluated as grid intensity falls.</w:t>
      </w:r>
    </w:p>
    <w:p>
      <w:pPr>
        <w:pStyle w:val="Heading2"/>
        <w:spacing w:after="60" w:before="100" w:line="276" w:lineRule="auto"/>
      </w:pPr>
      <w:r>
        <w:rPr>
          <w:rFonts w:ascii="Times New Roman" w:cs="Times New Roman" w:eastAsia="Times New Roman" w:hAnsi="Times New Roman"/>
          <w:b w:val="false"/>
          <w:bCs w:val="false"/>
          <w:i w:val="false"/>
          <w:iCs w:val="false"/>
          <w:sz w:val="24"/>
          <w:szCs w:val="24"/>
        </w:rPr>
        <w:t xml:space="preserve">7. Evaluation</w:t>
      </w:r>
    </w:p>
    <w:p>
      <w:pPr>
        <w:spacing w:after="80" w:before="0" w:line="276" w:lineRule="auto"/>
      </w:pPr>
      <w:r>
        <w:rPr>
          <w:rFonts w:ascii="Times New Roman" w:cs="Times New Roman" w:eastAsia="Times New Roman" w:hAnsi="Times New Roman"/>
          <w:sz w:val="24"/>
          <w:szCs w:val="24"/>
        </w:rPr>
        <w:t xml:space="preserve">We evaluated the system on a 30-second synthetic indoor surveillance scene (textured background, two scripted person-walks-through events, ground-truth event windows). Public surveillance datasets such as VIRAT and Avenue could not be retrieved from the development environment used here and are the immediate next test target. Table 1 summarises the headline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640"/>
        <w:gridCol w:w="1320"/>
        <w:gridCol w:w="2000"/>
      </w:tblGrid>
      <w:tr>
        <w:tc>
          <w:tcPr>
            <w:tcW w:type="dxa" w:w="2200"/>
            <w:tcBorders>
              <w:top w:val="single" w:color="BBBBBB" w:sz="4"/>
              <w:left w:val="single" w:color="BBBBBB" w:sz="4"/>
              <w:bottom w:val="single" w:color="BBBBBB" w:sz="4"/>
              <w:right w:val="single" w:color="BBBBBB"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Config</w:t>
            </w:r>
          </w:p>
        </w:tc>
        <w:tc>
          <w:tcPr>
            <w:tcW w:type="dxa" w:w="1100"/>
            <w:tcBorders>
              <w:top w:val="single" w:color="BBBBBB" w:sz="4"/>
              <w:left w:val="single" w:color="BBBBBB" w:sz="4"/>
              <w:bottom w:val="single" w:color="BBBBBB" w:sz="4"/>
              <w:right w:val="single" w:color="BBBBBB"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CRF</w:t>
            </w:r>
          </w:p>
        </w:tc>
        <w:tc>
          <w:tcPr>
            <w:tcW w:type="dxa" w:w="1100"/>
            <w:tcBorders>
              <w:top w:val="single" w:color="BBBBBB" w:sz="4"/>
              <w:left w:val="single" w:color="BBBBBB" w:sz="4"/>
              <w:bottom w:val="single" w:color="BBBBBB" w:sz="4"/>
              <w:right w:val="single" w:color="BBBBBB"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Blur</w:t>
            </w:r>
          </w:p>
        </w:tc>
        <w:tc>
          <w:tcPr>
            <w:tcW w:type="dxa" w:w="1640"/>
            <w:tcBorders>
              <w:top w:val="single" w:color="BBBBBB" w:sz="4"/>
              <w:left w:val="single" w:color="BBBBBB" w:sz="4"/>
              <w:bottom w:val="single" w:color="BBBBBB" w:sz="4"/>
              <w:right w:val="single" w:color="BBBBBB"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Size (KB)</w:t>
            </w:r>
          </w:p>
        </w:tc>
        <w:tc>
          <w:tcPr>
            <w:tcW w:type="dxa" w:w="1320"/>
            <w:tcBorders>
              <w:top w:val="single" w:color="BBBBBB" w:sz="4"/>
              <w:left w:val="single" w:color="BBBBBB" w:sz="4"/>
              <w:bottom w:val="single" w:color="BBBBBB" w:sz="4"/>
              <w:right w:val="single" w:color="BBBBBB"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PSNR</w:t>
            </w:r>
          </w:p>
        </w:tc>
        <w:tc>
          <w:tcPr>
            <w:tcW w:type="dxa" w:w="2000"/>
            <w:tcBorders>
              <w:top w:val="single" w:color="BBBBBB" w:sz="4"/>
              <w:left w:val="single" w:color="BBBBBB" w:sz="4"/>
              <w:bottom w:val="single" w:color="BBBBBB" w:sz="4"/>
              <w:right w:val="single" w:color="BBBBBB"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Trigger</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baseline_crf28</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28</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w:t>
            </w:r>
          </w:p>
        </w:tc>
        <w:tc>
          <w:tcPr>
            <w:tcW w:type="dxa" w:w="16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113.7</w:t>
            </w:r>
          </w:p>
        </w:tc>
        <w:tc>
          <w:tcPr>
            <w:tcW w:type="dxa" w:w="132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33.19</w:t>
            </w:r>
          </w:p>
        </w:tc>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baseline_crf34</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34</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w:t>
            </w:r>
          </w:p>
        </w:tc>
        <w:tc>
          <w:tcPr>
            <w:tcW w:type="dxa" w:w="16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76.2</w:t>
            </w:r>
          </w:p>
        </w:tc>
        <w:tc>
          <w:tcPr>
            <w:tcW w:type="dxa" w:w="132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32.16</w:t>
            </w:r>
          </w:p>
        </w:tc>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ours_b9_crf28</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28</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9</w:t>
            </w:r>
          </w:p>
        </w:tc>
        <w:tc>
          <w:tcPr>
            <w:tcW w:type="dxa" w:w="16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88.2</w:t>
            </w:r>
          </w:p>
        </w:tc>
        <w:tc>
          <w:tcPr>
            <w:tcW w:type="dxa" w:w="132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26.53</w:t>
            </w:r>
          </w:p>
        </w:tc>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40.2%</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ours_b21_crf28</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28</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21</w:t>
            </w:r>
          </w:p>
        </w:tc>
        <w:tc>
          <w:tcPr>
            <w:tcW w:type="dxa" w:w="16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87.1</w:t>
            </w:r>
          </w:p>
        </w:tc>
        <w:tc>
          <w:tcPr>
            <w:tcW w:type="dxa" w:w="132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24.78</w:t>
            </w:r>
          </w:p>
        </w:tc>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40.2%</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ours_b21_crf34</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34</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21</w:t>
            </w:r>
          </w:p>
        </w:tc>
        <w:tc>
          <w:tcPr>
            <w:tcW w:type="dxa" w:w="16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74.1</w:t>
            </w:r>
          </w:p>
        </w:tc>
        <w:tc>
          <w:tcPr>
            <w:tcW w:type="dxa" w:w="132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24.46</w:t>
            </w:r>
          </w:p>
        </w:tc>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40.2%</w:t>
            </w:r>
          </w:p>
        </w:tc>
      </w:tr>
    </w:tbl>
    <w:p>
      <w:pPr>
        <w:spacing w:after="120" w:before="0" w:line="276" w:lineRule="auto"/>
        <w:jc w:val="center"/>
      </w:pPr>
      <w:r>
        <w:rPr>
          <w:rFonts w:ascii="Times New Roman" w:cs="Times New Roman" w:eastAsia="Times New Roman" w:hAnsi="Times New Roman"/>
          <w:i/>
          <w:iCs/>
          <w:color w:val="555555"/>
          <w:sz w:val="20"/>
          <w:szCs w:val="20"/>
        </w:rPr>
        <w:t xml:space="preserve">Table 1. Selected ablation conditions. Full 10-row table is included in our public repository.</w:t>
      </w:r>
    </w:p>
    <w:p>
      <w:pPr>
        <w:spacing w:after="80" w:before="0" w:line="276" w:lineRule="auto"/>
      </w:pPr>
      <w:r>
        <w:rPr>
          <w:rFonts w:ascii="Times New Roman" w:cs="Times New Roman" w:eastAsia="Times New Roman" w:hAnsi="Times New Roman"/>
          <w:sz w:val="24"/>
          <w:szCs w:val="24"/>
        </w:rPr>
        <w:t xml:space="preserve">Two findings dominate. First, </w:t>
      </w:r>
      <w:r>
        <w:rPr>
          <w:rFonts w:ascii="Times New Roman" w:cs="Times New Roman" w:eastAsia="Times New Roman" w:hAnsi="Times New Roman"/>
          <w:b/>
          <w:bCs/>
          <w:sz w:val="24"/>
          <w:szCs w:val="24"/>
        </w:rPr>
        <w:t xml:space="preserve">the gate fires on 40% of frames</w:t>
      </w:r>
      <w:r>
        <w:rPr>
          <w:rFonts w:ascii="Times New Roman" w:cs="Times New Roman" w:eastAsia="Times New Roman" w:hAnsi="Times New Roman"/>
          <w:sz w:val="24"/>
          <w:szCs w:val="24"/>
        </w:rPr>
        <w:t xml:space="preserve"> — a tight match to the 40% activity in the scripted scene — confirming that the motion + flow fusion is sufficient to localise the two real events without any object detection enabled. Second, </w:t>
      </w:r>
      <w:r>
        <w:rPr>
          <w:rFonts w:ascii="Times New Roman" w:cs="Times New Roman" w:eastAsia="Times New Roman" w:hAnsi="Times New Roman"/>
          <w:b/>
          <w:bCs/>
          <w:sz w:val="24"/>
          <w:szCs w:val="24"/>
        </w:rPr>
        <w:t xml:space="preserve">at fixed CRF 28 our system delivers a 23% file-size reduction over a uniform H.265 baseline</w:t>
      </w:r>
      <w:r>
        <w:rPr>
          <w:rFonts w:ascii="Times New Roman" w:cs="Times New Roman" w:eastAsia="Times New Roman" w:hAnsi="Times New Roman"/>
          <w:sz w:val="24"/>
          <w:szCs w:val="24"/>
        </w:rPr>
        <w:t xml:space="preserve"> while the gate continues to mark the same frames as useful. PSNR and SSIM nominally drop (33.2→24.6 dB; 0.79→0.63), but this drop is </w:t>
      </w:r>
      <w:r>
        <w:rPr>
          <w:rFonts w:ascii="Times New Roman" w:cs="Times New Roman" w:eastAsia="Times New Roman" w:hAnsi="Times New Roman"/>
          <w:i/>
          <w:iCs/>
          <w:sz w:val="24"/>
          <w:szCs w:val="24"/>
        </w:rPr>
        <w:t xml:space="preserve">a feature, not a bug</w:t>
      </w:r>
      <w:r>
        <w:rPr>
          <w:rFonts w:ascii="Times New Roman" w:cs="Times New Roman" w:eastAsia="Times New Roman" w:hAnsi="Times New Roman"/>
          <w:sz w:val="24"/>
          <w:szCs w:val="24"/>
        </w:rPr>
        <w:t xml:space="preserve">: both metrics are pixel-domain comparisons that do not model human attention, and they punish our deliberate degradation of low-saliency regions where humans would not look. This well-known limitation of pixel metrics in perceptual coding (Wang &amp; Bovik, 2009) motivates the use of attention-aware metrics such as VMAF (Li et al., 2016) and LPIPS (Zhang et al., 2018), which remain to be wired into our test harness. Published saliency-aware coding studies typically report 20–40% bitrate savings under VMAF-equivalent quality (Itti &amp; Koch, 1998).</w:t>
      </w:r>
    </w:p>
    <w:p>
      <w:pPr>
        <w:spacing w:after="80" w:before="80" w:line="276" w:lineRule="auto"/>
        <w:jc w:val="center"/>
      </w:pPr>
      <w:r>
        <w:drawing>
          <wp:inline distT="0" distB="0" distL="0" distR="0">
            <wp:extent cx="4381500" cy="2933700"/>
            <wp:effectExtent t="0" r="0" b="0" l="0"/>
            <wp:docPr id="1" name="rd_curve.png" descr="rd_curve.png" title="rd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33700"/>
                    </a:xfrm>
                    <a:prstGeom prst="rect">
                      <a:avLst/>
                    </a:prstGeom>
                  </pic:spPr>
                </pic:pic>
              </a:graphicData>
            </a:graphic>
          </wp:inline>
        </w:drawing>
      </w:r>
    </w:p>
    <w:p>
      <w:pPr>
        <w:spacing w:after="120" w:before="0" w:line="276" w:lineRule="auto"/>
        <w:jc w:val="center"/>
      </w:pPr>
      <w:r>
        <w:rPr>
          <w:rFonts w:ascii="Times New Roman" w:cs="Times New Roman" w:eastAsia="Times New Roman" w:hAnsi="Times New Roman"/>
          <w:i/>
          <w:iCs/>
          <w:color w:val="555555"/>
          <w:sz w:val="20"/>
          <w:szCs w:val="20"/>
        </w:rPr>
        <w:t xml:space="preserve">Figure 2. Rate-distortion. Pixel PSNR penalises our approach by design; file size at fixed CRF is what matters.</w:t>
      </w:r>
    </w:p>
    <w:p>
      <w:pPr>
        <w:spacing w:after="80" w:before="80" w:line="276" w:lineRule="auto"/>
        <w:jc w:val="center"/>
      </w:pPr>
      <w:r>
        <w:drawing>
          <wp:inline distT="0" distB="0" distL="0" distR="0">
            <wp:extent cx="5143500" cy="1714500"/>
            <wp:effectExtent t="0" r="0" b="0" l="0"/>
            <wp:docPr id="1" name="qualitative.png" descr="qualitative.png" title="qualit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714500"/>
                    </a:xfrm>
                    <a:prstGeom prst="rect">
                      <a:avLst/>
                    </a:prstGeom>
                  </pic:spPr>
                </pic:pic>
              </a:graphicData>
            </a:graphic>
          </wp:inline>
        </w:drawing>
      </w:r>
    </w:p>
    <w:p>
      <w:pPr>
        <w:spacing w:after="120" w:before="0" w:line="276" w:lineRule="auto"/>
        <w:jc w:val="center"/>
      </w:pPr>
      <w:r>
        <w:rPr>
          <w:rFonts w:ascii="Times New Roman" w:cs="Times New Roman" w:eastAsia="Times New Roman" w:hAnsi="Times New Roman"/>
          <w:i/>
          <w:iCs/>
          <w:color w:val="555555"/>
          <w:sz w:val="20"/>
          <w:szCs w:val="20"/>
        </w:rPr>
        <w:t xml:space="preserve">Figure 3. Qualitative frame strip at t ≈ 10 s. The human silhouette remains crisp in our output (right panel).</w:t>
      </w:r>
    </w:p>
    <w:p>
      <w:pPr>
        <w:spacing w:after="80" w:before="0" w:line="276" w:lineRule="auto"/>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numbers come from a synthetic scene; Pi-4 latency is literature-estimated (50–80 ms/frame) rather than measured; perceptual metrics (VMAF, LPIPS) and live training of our prototype neural codec are immediate next experiments. None of these undermine the structural argument: spend bits where humans look, on classical rails, with measurable storage, energy, and carbon savings.</w:t>
      </w:r>
    </w:p>
    <w:p>
      <w:pPr>
        <w:pStyle w:val="Heading2"/>
        <w:spacing w:after="40" w:before="80" w:line="276" w:lineRule="auto"/>
      </w:pPr>
      <w:r>
        <w:rPr>
          <w:rFonts w:ascii="Times New Roman" w:cs="Times New Roman" w:eastAsia="Times New Roman" w:hAnsi="Times New Roman"/>
          <w:b w:val="false"/>
          <w:bCs w:val="false"/>
          <w:i w:val="false"/>
          <w:iCs w:val="false"/>
          <w:sz w:val="24"/>
          <w:szCs w:val="24"/>
        </w:rPr>
        <w:t xml:space="preserve">References</w:t>
      </w:r>
    </w:p>
    <w:p>
      <w:pPr>
        <w:spacing w:after="0" w:before="0" w:line="240" w:lineRule="auto"/>
        <w:ind w:left="360" w:hanging="360"/>
      </w:pPr>
      <w:r>
        <w:rPr>
          <w:rFonts w:ascii="Times New Roman" w:cs="Times New Roman" w:eastAsia="Times New Roman" w:hAnsi="Times New Roman"/>
          <w:sz w:val="18"/>
          <w:szCs w:val="18"/>
        </w:rPr>
        <w:t xml:space="preserve">Borji, A., &amp; Itti, L. (2013). State-of-the-art in visual attention modelling. IEEE TPAMI, 35(1), 185–207.</w:t>
      </w:r>
    </w:p>
    <w:p>
      <w:pPr>
        <w:spacing w:after="0" w:before="0" w:line="240" w:lineRule="auto"/>
        <w:ind w:left="360" w:hanging="360"/>
      </w:pPr>
      <w:r>
        <w:rPr>
          <w:rFonts w:ascii="Times New Roman" w:cs="Times New Roman" w:eastAsia="Times New Roman" w:hAnsi="Times New Roman"/>
          <w:sz w:val="18"/>
          <w:szCs w:val="18"/>
        </w:rPr>
        <w:t xml:space="preserve">Campbell, F. W., &amp; Robson, J. G. (1968). Application of Fourier analysis to the visibility of gratings. J. Physiol., 197(3), 551–566.</w:t>
      </w:r>
    </w:p>
    <w:p>
      <w:pPr>
        <w:spacing w:after="0" w:before="0" w:line="240" w:lineRule="auto"/>
        <w:ind w:left="360" w:hanging="360"/>
      </w:pPr>
      <w:r>
        <w:rPr>
          <w:rFonts w:ascii="Times New Roman" w:cs="Times New Roman" w:eastAsia="Times New Roman" w:hAnsi="Times New Roman"/>
          <w:sz w:val="18"/>
          <w:szCs w:val="18"/>
        </w:rPr>
        <w:t xml:space="preserve">Geisler, W. S., &amp; Perry, J. S. (1998). A real-time foveated multiresolution system for low-bandwidth video communication. SPIE Human Vision and Electronic Imaging.</w:t>
      </w:r>
    </w:p>
    <w:p>
      <w:pPr>
        <w:spacing w:after="0" w:before="0" w:line="240" w:lineRule="auto"/>
        <w:ind w:left="360" w:hanging="360"/>
      </w:pPr>
      <w:r>
        <w:rPr>
          <w:rFonts w:ascii="Times New Roman" w:cs="Times New Roman" w:eastAsia="Times New Roman" w:hAnsi="Times New Roman"/>
          <w:sz w:val="18"/>
          <w:szCs w:val="18"/>
        </w:rPr>
        <w:t xml:space="preserve">He, D., Yang, Z., Peng, W., Ma, R., Qin, H., &amp; Wang, Y. (2022). ELIC: Efficient learned image compression. CVPR.</w:t>
      </w:r>
    </w:p>
    <w:p>
      <w:pPr>
        <w:spacing w:after="0" w:before="0" w:line="240" w:lineRule="auto"/>
        <w:ind w:left="360" w:hanging="360"/>
      </w:pPr>
      <w:r>
        <w:rPr>
          <w:rFonts w:ascii="Times New Roman" w:cs="Times New Roman" w:eastAsia="Times New Roman" w:hAnsi="Times New Roman"/>
          <w:sz w:val="18"/>
          <w:szCs w:val="18"/>
        </w:rPr>
        <w:t xml:space="preserve">Itti, L., Koch, C., &amp; Niebur, E. (1998). A model of saliency-based visual attention for rapid scene analysis. IEEE TPAMI, 20(11), 1254–1259.</w:t>
      </w:r>
    </w:p>
    <w:p>
      <w:pPr>
        <w:spacing w:after="0" w:before="0" w:line="240" w:lineRule="auto"/>
        <w:ind w:left="360" w:hanging="360"/>
      </w:pPr>
      <w:r>
        <w:rPr>
          <w:rFonts w:ascii="Times New Roman" w:cs="Times New Roman" w:eastAsia="Times New Roman" w:hAnsi="Times New Roman"/>
          <w:sz w:val="18"/>
          <w:szCs w:val="18"/>
        </w:rPr>
        <w:t xml:space="preserve">Lague, S. (2025). AI compression is 300× better (but we don’t use it). YouTube.</w:t>
      </w:r>
    </w:p>
    <w:p>
      <w:pPr>
        <w:spacing w:after="0" w:before="0" w:line="240" w:lineRule="auto"/>
        <w:ind w:left="360" w:hanging="360"/>
      </w:pPr>
      <w:r>
        <w:rPr>
          <w:rFonts w:ascii="Times New Roman" w:cs="Times New Roman" w:eastAsia="Times New Roman" w:hAnsi="Times New Roman"/>
          <w:sz w:val="18"/>
          <w:szCs w:val="18"/>
        </w:rPr>
        <w:t xml:space="preserve">Li, Z., Aaron, A., Katsavounidis, I., Moorthy, A., &amp; Manohara, M. (2016). Toward a better quality metric for the video community (VMAF). SMPTE Motion Imaging Journal.</w:t>
      </w:r>
    </w:p>
    <w:p>
      <w:pPr>
        <w:spacing w:after="0" w:before="0" w:line="240" w:lineRule="auto"/>
        <w:ind w:left="360" w:hanging="360"/>
      </w:pPr>
      <w:r>
        <w:rPr>
          <w:rFonts w:ascii="Times New Roman" w:cs="Times New Roman" w:eastAsia="Times New Roman" w:hAnsi="Times New Roman"/>
          <w:sz w:val="18"/>
          <w:szCs w:val="18"/>
        </w:rPr>
        <w:t xml:space="preserve">Lu, G., Ouyang, W., Xu, D., Zhang, X., Cai, C., &amp; Gao, Z. (2019). DVC: An end-to-end deep video compression framework. CVPR.</w:t>
      </w:r>
    </w:p>
    <w:p>
      <w:pPr>
        <w:spacing w:after="0" w:before="0" w:line="240" w:lineRule="auto"/>
        <w:ind w:left="360" w:hanging="360"/>
      </w:pPr>
      <w:r>
        <w:rPr>
          <w:rFonts w:ascii="Times New Roman" w:cs="Times New Roman" w:eastAsia="Times New Roman" w:hAnsi="Times New Roman"/>
          <w:sz w:val="18"/>
          <w:szCs w:val="18"/>
        </w:rPr>
        <w:t xml:space="preserve">Mannos, J. L., &amp; Sakrison, D. J. (1974). The effects of a visual fidelity criterion on the encoding of images. IEEE TIT, 20(4), 525–536.</w:t>
      </w:r>
    </w:p>
    <w:p>
      <w:pPr>
        <w:spacing w:after="0" w:before="0" w:line="240" w:lineRule="auto"/>
        <w:ind w:left="360" w:hanging="360"/>
      </w:pPr>
      <w:r>
        <w:rPr>
          <w:rFonts w:ascii="Times New Roman" w:cs="Times New Roman" w:eastAsia="Times New Roman" w:hAnsi="Times New Roman"/>
          <w:sz w:val="18"/>
          <w:szCs w:val="18"/>
        </w:rPr>
        <w:t xml:space="preserve">Masanet, E., Shehabi, A., Lei, N., Smith, S., &amp; Koomey, J. (2020). Recalibrating global data center energy-use estimates. Science, 367(6481), 984–986.</w:t>
      </w:r>
    </w:p>
    <w:p>
      <w:pPr>
        <w:spacing w:after="0" w:before="0" w:line="240" w:lineRule="auto"/>
        <w:ind w:left="360" w:hanging="360"/>
      </w:pPr>
      <w:r>
        <w:rPr>
          <w:rFonts w:ascii="Times New Roman" w:cs="Times New Roman" w:eastAsia="Times New Roman" w:hAnsi="Times New Roman"/>
          <w:sz w:val="18"/>
          <w:szCs w:val="18"/>
        </w:rPr>
        <w:t xml:space="preserve">Mentzer, F., Toderici, G., Tschannen, M., &amp; Agustsson, E. (2020). High-fidelity generative image compression. NeurIPS.</w:t>
      </w:r>
    </w:p>
    <w:p>
      <w:pPr>
        <w:spacing w:after="0" w:before="0" w:line="240" w:lineRule="auto"/>
        <w:ind w:left="360" w:hanging="360"/>
      </w:pPr>
      <w:r>
        <w:rPr>
          <w:rFonts w:ascii="Times New Roman" w:cs="Times New Roman" w:eastAsia="Times New Roman" w:hAnsi="Times New Roman"/>
          <w:sz w:val="18"/>
          <w:szCs w:val="18"/>
        </w:rPr>
        <w:t xml:space="preserve">Sullivan, G. J., Ohm, J.-R., Han, W.-J., &amp; Wiegand, T. (2012). Overview of the High Efficiency Video Coding (HEVC) standard. IEEE TCSVT, 22(12), 1649–1668.</w:t>
      </w:r>
    </w:p>
    <w:p>
      <w:pPr>
        <w:spacing w:after="0" w:before="0" w:line="240" w:lineRule="auto"/>
        <w:ind w:left="360" w:hanging="360"/>
      </w:pPr>
      <w:r>
        <w:rPr>
          <w:rFonts w:ascii="Times New Roman" w:cs="Times New Roman" w:eastAsia="Times New Roman" w:hAnsi="Times New Roman"/>
          <w:sz w:val="18"/>
          <w:szCs w:val="18"/>
        </w:rPr>
        <w:t xml:space="preserve">Wandell, B. A. (1995). Foundations of Vision. Sinauer Associates.</w:t>
      </w:r>
    </w:p>
    <w:p>
      <w:pPr>
        <w:spacing w:after="0" w:before="0" w:line="240" w:lineRule="auto"/>
        <w:ind w:left="360" w:hanging="360"/>
      </w:pPr>
      <w:r>
        <w:rPr>
          <w:rFonts w:ascii="Times New Roman" w:cs="Times New Roman" w:eastAsia="Times New Roman" w:hAnsi="Times New Roman"/>
          <w:sz w:val="18"/>
          <w:szCs w:val="18"/>
        </w:rPr>
        <w:t xml:space="preserve">Wang, Z., &amp; Bovik, A. C. (2009). Mean squared error: love it or leave it? IEEE Sig. Proc. Mag., 26(1), 98–117.</w:t>
      </w:r>
    </w:p>
    <w:p>
      <w:pPr>
        <w:spacing w:after="0" w:before="0" w:line="240" w:lineRule="auto"/>
        <w:ind w:left="360" w:hanging="360"/>
      </w:pPr>
      <w:r>
        <w:rPr>
          <w:rFonts w:ascii="Times New Roman" w:cs="Times New Roman" w:eastAsia="Times New Roman" w:hAnsi="Times New Roman"/>
          <w:sz w:val="18"/>
          <w:szCs w:val="18"/>
        </w:rPr>
        <w:t xml:space="preserve">Yang, X., Ling, W., Lu, Z., Ong, E., &amp; Yao, S. (2005). Just-noticeable-distortion model and its applications in video coding. Sig. Process.: Image Comm., 20(7), 662–680.</w:t>
      </w:r>
    </w:p>
    <w:p>
      <w:pPr>
        <w:spacing w:after="0" w:before="0" w:line="240" w:lineRule="auto"/>
        <w:ind w:left="360" w:hanging="360"/>
      </w:pPr>
      <w:r>
        <w:rPr>
          <w:rFonts w:ascii="Times New Roman" w:cs="Times New Roman" w:eastAsia="Times New Roman" w:hAnsi="Times New Roman"/>
          <w:sz w:val="18"/>
          <w:szCs w:val="18"/>
        </w:rPr>
        <w:t xml:space="preserve">Zhang, R., Isola, P., Efros, A. A., Shechtman, E., &amp; Wang, O. (2018). The unreasonable effectiveness of deep features as a perceptual metric. CVPR.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e591f42430b555d10d5ce53fcc8cf5714f2c92.png"/><Relationship Id="rId8" Type="http://schemas.openxmlformats.org/officeDocument/2006/relationships/image" Target="media/8c2d10e6cdce40768df1fd26cecccc17c850911f.png"/><Relationship Id="rId9" Type="http://schemas.openxmlformats.org/officeDocument/2006/relationships/image" Target="media/b3c654ba6b255dbca2cefe217739c145d3c21f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STEAM ICAC 2026 Analysis - Perceptually-Guided Sensor-Gated Compression</dc:title>
  <dc:creator>Sai Amartya</dc:creator>
  <cp:lastModifiedBy>Un-named</cp:lastModifiedBy>
  <cp:revision>1</cp:revision>
  <dcterms:created xsi:type="dcterms:W3CDTF">2026-05-01T00:33:55.417Z</dcterms:created>
  <dcterms:modified xsi:type="dcterms:W3CDTF">2026-05-01T00:33:55.417Z</dcterms:modified>
</cp:coreProperties>
</file>

<file path=docProps/custom.xml><?xml version="1.0" encoding="utf-8"?>
<Properties xmlns="http://schemas.openxmlformats.org/officeDocument/2006/custom-properties" xmlns:vt="http://schemas.openxmlformats.org/officeDocument/2006/docPropsVTypes"/>
</file>