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77BF" w14:textId="77777777" w:rsidR="000F7D43" w:rsidRDefault="00000000">
      <w:pPr>
        <w:spacing w:before="40" w:after="40"/>
        <w:jc w:val="center"/>
      </w:pPr>
      <w:r>
        <w:rPr>
          <w:rFonts w:ascii="Arial" w:eastAsia="Arial" w:hAnsi="Arial" w:cs="Arial"/>
          <w:b/>
          <w:bCs/>
          <w:color w:val="37245F"/>
          <w:sz w:val="27"/>
          <w:szCs w:val="27"/>
        </w:rPr>
        <w:t>Policy Intelligence and the Industrialization of Healthcare Payment Integrity</w:t>
      </w:r>
    </w:p>
    <w:p w14:paraId="30EDA46B" w14:textId="77777777" w:rsidR="000F7D43" w:rsidRDefault="00000000">
      <w:pPr>
        <w:jc w:val="center"/>
      </w:pPr>
      <w:r>
        <w:rPr>
          <w:rFonts w:ascii="Arial" w:eastAsia="Arial" w:hAnsi="Arial" w:cs="Arial"/>
          <w:i/>
          <w:iCs/>
          <w:color w:val="1A1A1A"/>
          <w:sz w:val="21"/>
          <w:szCs w:val="21"/>
        </w:rPr>
        <w:t>Cotiviti Critical Assessment — Written Report</w:t>
      </w:r>
    </w:p>
    <w:p w14:paraId="27C96208" w14:textId="0766DED2" w:rsidR="000F7D43" w:rsidRDefault="009F0A08">
      <w:pPr>
        <w:spacing w:after="220"/>
        <w:jc w:val="center"/>
      </w:pPr>
      <w:r w:rsidRPr="009F0A08">
        <w:rPr>
          <w:rFonts w:ascii="Arial" w:eastAsia="Arial" w:hAnsi="Arial" w:cs="Arial"/>
          <w:b/>
          <w:bCs/>
          <w:color w:val="1A1A1A"/>
          <w:sz w:val="21"/>
          <w:szCs w:val="21"/>
        </w:rPr>
        <w:t xml:space="preserve">Sai Bhuvanesh </w:t>
      </w:r>
      <w:proofErr w:type="gramStart"/>
      <w:r w:rsidRPr="009F0A08">
        <w:rPr>
          <w:rFonts w:ascii="Arial" w:eastAsia="Arial" w:hAnsi="Arial" w:cs="Arial"/>
          <w:b/>
          <w:bCs/>
          <w:color w:val="1A1A1A"/>
          <w:sz w:val="21"/>
          <w:szCs w:val="21"/>
        </w:rPr>
        <w:t>Suryadevara</w:t>
      </w:r>
      <w:r w:rsidR="00000000" w:rsidRPr="009F0A08">
        <w:rPr>
          <w:rFonts w:ascii="Arial" w:eastAsia="Arial" w:hAnsi="Arial" w:cs="Arial"/>
          <w:b/>
          <w:bCs/>
          <w:color w:val="1A1A1A"/>
          <w:sz w:val="21"/>
          <w:szCs w:val="21"/>
        </w:rPr>
        <w:t xml:space="preserve">  </w:t>
      </w:r>
      <w:r w:rsidR="00000000">
        <w:rPr>
          <w:rFonts w:ascii="Arial" w:eastAsia="Arial" w:hAnsi="Arial" w:cs="Arial"/>
          <w:color w:val="1A1A1A"/>
          <w:sz w:val="21"/>
          <w:szCs w:val="21"/>
        </w:rPr>
        <w:t>|</w:t>
      </w:r>
      <w:proofErr w:type="gramEnd"/>
      <w:r w:rsidR="00000000">
        <w:rPr>
          <w:rFonts w:ascii="Arial" w:eastAsia="Arial" w:hAnsi="Arial" w:cs="Arial"/>
          <w:color w:val="1A1A1A"/>
          <w:sz w:val="21"/>
          <w:szCs w:val="21"/>
        </w:rPr>
        <w:t xml:space="preserve">  </w:t>
      </w:r>
      <w:r w:rsidRPr="009F0A08">
        <w:rPr>
          <w:rFonts w:ascii="Arial" w:eastAsia="Arial" w:hAnsi="Arial" w:cs="Arial"/>
          <w:b/>
          <w:bCs/>
          <w:color w:val="1A1A1A"/>
          <w:sz w:val="21"/>
          <w:szCs w:val="21"/>
        </w:rPr>
        <w:t xml:space="preserve">Georgia State </w:t>
      </w:r>
      <w:proofErr w:type="gramStart"/>
      <w:r w:rsidRPr="009F0A08">
        <w:rPr>
          <w:rFonts w:ascii="Arial" w:eastAsia="Arial" w:hAnsi="Arial" w:cs="Arial"/>
          <w:b/>
          <w:bCs/>
          <w:color w:val="1A1A1A"/>
          <w:sz w:val="21"/>
          <w:szCs w:val="21"/>
        </w:rPr>
        <w:t>University</w:t>
      </w:r>
      <w:r w:rsidR="00000000">
        <w:rPr>
          <w:rFonts w:ascii="Arial" w:eastAsia="Arial" w:hAnsi="Arial" w:cs="Arial"/>
          <w:color w:val="1A1A1A"/>
          <w:sz w:val="21"/>
          <w:szCs w:val="21"/>
        </w:rPr>
        <w:t xml:space="preserve">  |</w:t>
      </w:r>
      <w:proofErr w:type="gramEnd"/>
      <w:r w:rsidR="00000000">
        <w:rPr>
          <w:rFonts w:ascii="Arial" w:eastAsia="Arial" w:hAnsi="Arial" w:cs="Arial"/>
          <w:color w:val="1A1A1A"/>
          <w:sz w:val="21"/>
          <w:szCs w:val="21"/>
        </w:rPr>
        <w:t xml:space="preserve">  July 1, 2026</w:t>
      </w:r>
    </w:p>
    <w:p w14:paraId="73C2997B" w14:textId="77777777" w:rsidR="000F7D43" w:rsidRDefault="00000000">
      <w:pPr>
        <w:spacing w:before="200" w:after="90"/>
      </w:pPr>
      <w:r>
        <w:rPr>
          <w:rFonts w:ascii="Arial" w:eastAsia="Arial" w:hAnsi="Arial" w:cs="Arial"/>
          <w:b/>
          <w:bCs/>
          <w:color w:val="9579D3"/>
          <w:sz w:val="25"/>
          <w:szCs w:val="25"/>
        </w:rPr>
        <w:t>Topic Concept Definition</w:t>
      </w:r>
    </w:p>
    <w:p w14:paraId="0B86F5F4" w14:textId="77777777" w:rsidR="000F7D43" w:rsidRDefault="00000000">
      <w:pPr>
        <w:spacing w:after="130" w:line="264" w:lineRule="auto"/>
      </w:pPr>
      <w:r>
        <w:rPr>
          <w:rFonts w:ascii="Arial" w:eastAsia="Arial" w:hAnsi="Arial" w:cs="Arial"/>
          <w:color w:val="1A1A1A"/>
          <w:sz w:val="21"/>
          <w:szCs w:val="21"/>
        </w:rPr>
        <w:t>Healthcare payment integrity depends on claims complying with a large, continuously evolving body of written policy — CMS bulletins, National Correct Coding Initiative (NCCI) manuals, Medicare Administrative Contractor (MAC) coverage determinations, payer medical policies, code-set revisions, and increasingly value-based payment (VBP) contract language. Converting that prose into executable claim edits has historically been a manual, expert-intensive craft — the craft on which Cotiviti built its market position: coders and payment-integrity specialists read policy, interpret intent, and encode logic into edit libraries that recover or prevent improper dollars.</w:t>
      </w:r>
    </w:p>
    <w:p w14:paraId="53964544" w14:textId="77777777" w:rsidR="000F7D43" w:rsidRDefault="00000000">
      <w:pPr>
        <w:spacing w:after="130" w:line="264" w:lineRule="auto"/>
      </w:pPr>
      <w:r>
        <w:rPr>
          <w:rFonts w:ascii="Arial" w:eastAsia="Arial" w:hAnsi="Arial" w:cs="Arial"/>
          <w:color w:val="1A1A1A"/>
          <w:sz w:val="21"/>
          <w:szCs w:val="21"/>
        </w:rPr>
        <w:t>Policy intelligence names the next industrialization of that competency. Instead of treating each policy revision as a bespoke engagement, an agentic pipeline ingests source documents, summarizes provisions, detects version-to-version changes, drafts structured edits with citations, and routes every draft to a human subject-matter expert (SME) before simulation or deployment. Output is machine-readable rule logic — JSON/YAML with pseudocode and SQL previews — that can hand off to enterprise rules engines such as Edifecs. The accompanying hackathon proof of concept (Policy Intelligence Pipeline; Cotiviti, 2026) implements this as a four-stage workflow: ingest/summarize, change detection, rule drafting, and SME sign-off with a full audit trail.</w:t>
      </w:r>
    </w:p>
    <w:p w14:paraId="46EC2150" w14:textId="77777777" w:rsidR="000F7D43" w:rsidRDefault="00000000">
      <w:pPr>
        <w:spacing w:after="130" w:line="264" w:lineRule="auto"/>
      </w:pPr>
      <w:r>
        <w:rPr>
          <w:rFonts w:ascii="Arial" w:eastAsia="Arial" w:hAnsi="Arial" w:cs="Arial"/>
          <w:color w:val="1A1A1A"/>
          <w:sz w:val="21"/>
          <w:szCs w:val="21"/>
        </w:rPr>
        <w:t>Unlike clinical documentation improvement or prior-authorization automation, this concept targets financial compliance — modifier requirements, procedure-to-procedure bundling, medically unlikely edit thresholds, frequency limits, and contract settlement thresholds — and augments rather than replaces professional judgment, consistent with emerging guidance on agentic AI with human oversight (Edifecs, 2025).</w:t>
      </w:r>
    </w:p>
    <w:p w14:paraId="6BC6CB35" w14:textId="77777777" w:rsidR="000F7D43" w:rsidRDefault="00000000">
      <w:pPr>
        <w:spacing w:before="200" w:after="90"/>
      </w:pPr>
      <w:r>
        <w:rPr>
          <w:rFonts w:ascii="Arial" w:eastAsia="Arial" w:hAnsi="Arial" w:cs="Arial"/>
          <w:b/>
          <w:bCs/>
          <w:color w:val="9579D3"/>
          <w:sz w:val="25"/>
          <w:szCs w:val="25"/>
        </w:rPr>
        <w:t>Relevant Trends Analysis</w:t>
      </w:r>
    </w:p>
    <w:p w14:paraId="446EA597" w14:textId="77777777" w:rsidR="000F7D43" w:rsidRDefault="00000000">
      <w:pPr>
        <w:spacing w:after="130" w:line="264" w:lineRule="auto"/>
      </w:pPr>
      <w:r>
        <w:rPr>
          <w:rFonts w:ascii="Arial" w:eastAsia="Arial" w:hAnsi="Arial" w:cs="Arial"/>
          <w:color w:val="1A1A1A"/>
          <w:sz w:val="21"/>
          <w:szCs w:val="21"/>
        </w:rPr>
        <w:t>Several converging forces make policy intelligence strategically urgent for payment-integrity vendors.</w:t>
      </w:r>
    </w:p>
    <w:p w14:paraId="63D37CED" w14:textId="77777777" w:rsidR="000F7D43" w:rsidRDefault="00000000">
      <w:pPr>
        <w:spacing w:after="130" w:line="264" w:lineRule="auto"/>
      </w:pPr>
      <w:r>
        <w:rPr>
          <w:rFonts w:ascii="Arial" w:eastAsia="Arial" w:hAnsi="Arial" w:cs="Arial"/>
          <w:b/>
          <w:bCs/>
          <w:color w:val="1A1A1A"/>
          <w:sz w:val="21"/>
          <w:szCs w:val="21"/>
        </w:rPr>
        <w:t xml:space="preserve">Agentic AI and LLMs. </w:t>
      </w:r>
      <w:r>
        <w:rPr>
          <w:rFonts w:ascii="Arial" w:eastAsia="Arial" w:hAnsi="Arial" w:cs="Arial"/>
          <w:color w:val="1A1A1A"/>
          <w:sz w:val="21"/>
          <w:szCs w:val="21"/>
        </w:rPr>
        <w:t>Generative and agent-based systems can process unstructured policy PDFs, extract codes and effective dates, and propose structured edits far faster than manual review — but hallucinated codes or over-broad rules make human-in-the-loop design non-negotiable. Regulators and payers will expect audit trails linking every deployed edit to source text and approver identity.</w:t>
      </w:r>
    </w:p>
    <w:p w14:paraId="436C7F97" w14:textId="77777777" w:rsidR="000F7D43" w:rsidRDefault="00000000">
      <w:pPr>
        <w:spacing w:after="130" w:line="264" w:lineRule="auto"/>
      </w:pPr>
      <w:r>
        <w:rPr>
          <w:rFonts w:ascii="Arial" w:eastAsia="Arial" w:hAnsi="Arial" w:cs="Arial"/>
          <w:b/>
          <w:bCs/>
          <w:color w:val="1A1A1A"/>
          <w:sz w:val="21"/>
          <w:szCs w:val="21"/>
        </w:rPr>
        <w:t xml:space="preserve">Prepay versus </w:t>
      </w:r>
      <w:proofErr w:type="spellStart"/>
      <w:r>
        <w:rPr>
          <w:rFonts w:ascii="Arial" w:eastAsia="Arial" w:hAnsi="Arial" w:cs="Arial"/>
          <w:b/>
          <w:bCs/>
          <w:color w:val="1A1A1A"/>
          <w:sz w:val="21"/>
          <w:szCs w:val="21"/>
        </w:rPr>
        <w:t>postpay</w:t>
      </w:r>
      <w:proofErr w:type="spellEnd"/>
      <w:r>
        <w:rPr>
          <w:rFonts w:ascii="Arial" w:eastAsia="Arial" w:hAnsi="Arial" w:cs="Arial"/>
          <w:b/>
          <w:bCs/>
          <w:color w:val="1A1A1A"/>
          <w:sz w:val="21"/>
          <w:szCs w:val="21"/>
        </w:rPr>
        <w:t xml:space="preserve"> shift. </w:t>
      </w:r>
      <w:r>
        <w:rPr>
          <w:rFonts w:ascii="Arial" w:eastAsia="Arial" w:hAnsi="Arial" w:cs="Arial"/>
          <w:color w:val="1A1A1A"/>
          <w:sz w:val="21"/>
          <w:szCs w:val="21"/>
        </w:rPr>
        <w:t>Post-payment recovery irritates providers and captures only a fraction of leakage; prepay edits stop improper payment before funds leave the plan. CMS operationalizes prepay logic through NCCI procedure-to-procedure and medically unlikely edits updated quarterly, sometimes mid-quarter with retroactive dates (Centers for Medicare &amp; Medicaid Services [CMS], n.d.). Payers seeking lower abrasion favor partners who industrialize prepay deployment.</w:t>
      </w:r>
    </w:p>
    <w:p w14:paraId="3467A87C" w14:textId="77777777" w:rsidR="000F7D43" w:rsidRDefault="00000000">
      <w:pPr>
        <w:spacing w:after="130" w:line="264" w:lineRule="auto"/>
      </w:pPr>
      <w:r>
        <w:rPr>
          <w:rFonts w:ascii="Arial" w:eastAsia="Arial" w:hAnsi="Arial" w:cs="Arial"/>
          <w:b/>
          <w:bCs/>
          <w:color w:val="1A1A1A"/>
          <w:sz w:val="21"/>
          <w:szCs w:val="21"/>
        </w:rPr>
        <w:t xml:space="preserve">CMS policy velocity. </w:t>
      </w:r>
      <w:r>
        <w:rPr>
          <w:rFonts w:ascii="Arial" w:eastAsia="Arial" w:hAnsi="Arial" w:cs="Arial"/>
          <w:color w:val="1A1A1A"/>
          <w:sz w:val="21"/>
          <w:szCs w:val="21"/>
        </w:rPr>
        <w:t>Revenue integrity teams must track quarterly NCCI releases, annual manual revisions, and ad hoc bulletins; practitioners must validate dates of service against the edit version in force (NAHRI, 2025) — a burden that scales poorly without automated change detection.</w:t>
      </w:r>
    </w:p>
    <w:p w14:paraId="07B774B7" w14:textId="77777777" w:rsidR="000F7D43" w:rsidRDefault="00000000">
      <w:pPr>
        <w:spacing w:after="130" w:line="264" w:lineRule="auto"/>
      </w:pPr>
      <w:r>
        <w:rPr>
          <w:rFonts w:ascii="Arial" w:eastAsia="Arial" w:hAnsi="Arial" w:cs="Arial"/>
          <w:b/>
          <w:bCs/>
          <w:color w:val="1A1A1A"/>
          <w:sz w:val="21"/>
          <w:szCs w:val="21"/>
        </w:rPr>
        <w:t xml:space="preserve">Human-in-the-loop governance. </w:t>
      </w:r>
      <w:r>
        <w:rPr>
          <w:rFonts w:ascii="Arial" w:eastAsia="Arial" w:hAnsi="Arial" w:cs="Arial"/>
          <w:color w:val="1A1A1A"/>
          <w:sz w:val="21"/>
          <w:szCs w:val="21"/>
        </w:rPr>
        <w:t>Section 3 content-management frameworks expect conversion of policy into rules with professional oversight; fully autonomous deployment is neither compliant nor credible in Medicare-facing workflows.</w:t>
      </w:r>
    </w:p>
    <w:p w14:paraId="240557E4" w14:textId="77777777" w:rsidR="000F7D43" w:rsidRDefault="00000000">
      <w:pPr>
        <w:spacing w:after="130" w:line="264" w:lineRule="auto"/>
      </w:pPr>
      <w:r>
        <w:rPr>
          <w:rFonts w:ascii="Arial" w:eastAsia="Arial" w:hAnsi="Arial" w:cs="Arial"/>
          <w:b/>
          <w:bCs/>
          <w:color w:val="1A1A1A"/>
          <w:sz w:val="21"/>
          <w:szCs w:val="21"/>
        </w:rPr>
        <w:lastRenderedPageBreak/>
        <w:t xml:space="preserve">VBP contract growth. </w:t>
      </w:r>
      <w:r>
        <w:rPr>
          <w:rFonts w:ascii="Arial" w:eastAsia="Arial" w:hAnsi="Arial" w:cs="Arial"/>
          <w:color w:val="1A1A1A"/>
          <w:sz w:val="21"/>
          <w:szCs w:val="21"/>
        </w:rPr>
        <w:t>Shared savings, quality thresholds, and downside-risk arrangements embed payment logic in contract prose rather than fee schedules alone — extending the same ingest-diff-draft-review pattern to contracts opens a Phase 2 product surface.</w:t>
      </w:r>
    </w:p>
    <w:p w14:paraId="7C097D46" w14:textId="77777777" w:rsidR="000F7D43" w:rsidRDefault="00000000">
      <w:pPr>
        <w:spacing w:before="200" w:after="90"/>
      </w:pPr>
      <w:r>
        <w:rPr>
          <w:rFonts w:ascii="Arial" w:eastAsia="Arial" w:hAnsi="Arial" w:cs="Arial"/>
          <w:b/>
          <w:bCs/>
          <w:color w:val="9579D3"/>
          <w:sz w:val="25"/>
          <w:szCs w:val="25"/>
        </w:rPr>
        <w:t>Opportunities and Threats for Cotiviti</w:t>
      </w:r>
    </w:p>
    <w:p w14:paraId="1317D028" w14:textId="77777777" w:rsidR="000F7D43" w:rsidRDefault="00000000">
      <w:pPr>
        <w:spacing w:after="130" w:line="264" w:lineRule="auto"/>
      </w:pPr>
      <w:r>
        <w:rPr>
          <w:rFonts w:ascii="Arial" w:eastAsia="Arial" w:hAnsi="Arial" w:cs="Arial"/>
          <w:b/>
          <w:bCs/>
          <w:color w:val="1A1A1A"/>
          <w:sz w:val="21"/>
          <w:szCs w:val="21"/>
        </w:rPr>
        <w:t xml:space="preserve">Opportunities. </w:t>
      </w:r>
      <w:r>
        <w:rPr>
          <w:rFonts w:ascii="Arial" w:eastAsia="Arial" w:hAnsi="Arial" w:cs="Arial"/>
          <w:color w:val="1A1A1A"/>
          <w:sz w:val="21"/>
          <w:szCs w:val="21"/>
        </w:rPr>
        <w:t>Cotiviti’s historical strength — translating written policy into dollars caught — maps directly onto policy intelligence as a product line rather than a services margin trap. Industrialization could shorten time-to-production for new edits after CMS releases, improve prepay attach rates, and differentiate against analytics vendors that diagnose leakage without operationalizing fixes. Integration with Edifecs positions Cotiviti as the intelligence layer upstream of execution; impact simulation against CMS Physician Fee Schedule pricing quantifies prepay ROI before deployment.</w:t>
      </w:r>
    </w:p>
    <w:p w14:paraId="13994D66" w14:textId="77777777" w:rsidR="000F7D43" w:rsidRDefault="00000000">
      <w:pPr>
        <w:spacing w:after="130" w:line="264" w:lineRule="auto"/>
      </w:pPr>
      <w:r>
        <w:rPr>
          <w:rFonts w:ascii="Arial" w:eastAsia="Arial" w:hAnsi="Arial" w:cs="Arial"/>
          <w:b/>
          <w:bCs/>
          <w:color w:val="1A1A1A"/>
          <w:sz w:val="21"/>
          <w:szCs w:val="21"/>
        </w:rPr>
        <w:t xml:space="preserve">Threats. </w:t>
      </w:r>
      <w:r>
        <w:rPr>
          <w:rFonts w:ascii="Arial" w:eastAsia="Arial" w:hAnsi="Arial" w:cs="Arial"/>
          <w:color w:val="1A1A1A"/>
          <w:sz w:val="21"/>
          <w:szCs w:val="21"/>
        </w:rPr>
        <w:t xml:space="preserve">Competitors and large payers may build internal LLM pipelines, reducing outsourcing appetite. Model errors that slip past weak SME controls could deploy incorrect edits at scale — a reputational and compliance risk. Regulators may scrutinize AI-generated coding interpretations, and Edifecs or </w:t>
      </w:r>
      <w:proofErr w:type="spellStart"/>
      <w:r>
        <w:rPr>
          <w:rFonts w:ascii="Arial" w:eastAsia="Arial" w:hAnsi="Arial" w:cs="Arial"/>
          <w:color w:val="1A1A1A"/>
          <w:sz w:val="21"/>
          <w:szCs w:val="21"/>
        </w:rPr>
        <w:t>hyperscalers</w:t>
      </w:r>
      <w:proofErr w:type="spellEnd"/>
      <w:r>
        <w:rPr>
          <w:rFonts w:ascii="Arial" w:eastAsia="Arial" w:hAnsi="Arial" w:cs="Arial"/>
          <w:color w:val="1A1A1A"/>
          <w:sz w:val="21"/>
          <w:szCs w:val="21"/>
        </w:rPr>
        <w:t xml:space="preserve"> could move upstream into policy ingestion, compressing margin. Conflating payment-integrity automation with clinical decision support invites regulatory pushback; the boundary must stay explicit in product design.</w:t>
      </w:r>
    </w:p>
    <w:p w14:paraId="7B3B04BD" w14:textId="77777777" w:rsidR="000F7D43" w:rsidRDefault="00000000">
      <w:pPr>
        <w:spacing w:before="200" w:after="90"/>
      </w:pPr>
      <w:r>
        <w:rPr>
          <w:rFonts w:ascii="Arial" w:eastAsia="Arial" w:hAnsi="Arial" w:cs="Arial"/>
          <w:b/>
          <w:bCs/>
          <w:color w:val="9579D3"/>
          <w:sz w:val="25"/>
          <w:szCs w:val="25"/>
        </w:rPr>
        <w:t>Strategic Options</w:t>
      </w:r>
    </w:p>
    <w:p w14:paraId="2231B9D4" w14:textId="77777777" w:rsidR="000F7D43" w:rsidRDefault="00000000">
      <w:pPr>
        <w:spacing w:after="130" w:line="264" w:lineRule="auto"/>
      </w:pPr>
      <w:r>
        <w:rPr>
          <w:rFonts w:ascii="Arial" w:eastAsia="Arial" w:hAnsi="Arial" w:cs="Arial"/>
          <w:color w:val="1A1A1A"/>
          <w:sz w:val="21"/>
          <w:szCs w:val="21"/>
        </w:rPr>
        <w:t>Three concrete paths emerge from this analysis and the proof-of-concept demonstration.</w:t>
      </w:r>
    </w:p>
    <w:p w14:paraId="68B2B488" w14:textId="77777777" w:rsidR="000F7D43" w:rsidRDefault="00000000">
      <w:pPr>
        <w:spacing w:after="130" w:line="264" w:lineRule="auto"/>
      </w:pPr>
      <w:r>
        <w:rPr>
          <w:rFonts w:ascii="Arial" w:eastAsia="Arial" w:hAnsi="Arial" w:cs="Arial"/>
          <w:b/>
          <w:bCs/>
          <w:color w:val="1A1A1A"/>
          <w:sz w:val="21"/>
          <w:szCs w:val="21"/>
        </w:rPr>
        <w:t xml:space="preserve">Option 1: Deep Edifecs integration. </w:t>
      </w:r>
      <w:r>
        <w:rPr>
          <w:rFonts w:ascii="Arial" w:eastAsia="Arial" w:hAnsi="Arial" w:cs="Arial"/>
          <w:color w:val="1A1A1A"/>
          <w:sz w:val="21"/>
          <w:szCs w:val="21"/>
        </w:rPr>
        <w:t>Build a production-grade export/push adapter from the Policy Intelligence draft format into Edifecs’ agentic deployment stack, preserving its human-oversight checkpoints. Cotiviti becomes the policy-ingestion and change-detection front end; Edifecs remains execution — leveraging existing licensing relationships and accelerating enterprise sales cycles.</w:t>
      </w:r>
    </w:p>
    <w:p w14:paraId="2AC4C04A" w14:textId="77777777" w:rsidR="000F7D43" w:rsidRDefault="00000000">
      <w:pPr>
        <w:spacing w:after="130" w:line="264" w:lineRule="auto"/>
      </w:pPr>
      <w:r>
        <w:rPr>
          <w:rFonts w:ascii="Arial" w:eastAsia="Arial" w:hAnsi="Arial" w:cs="Arial"/>
          <w:b/>
          <w:bCs/>
          <w:color w:val="1A1A1A"/>
          <w:sz w:val="21"/>
          <w:szCs w:val="21"/>
        </w:rPr>
        <w:t xml:space="preserve">Option 2: Standalone Policy Intelligence product. </w:t>
      </w:r>
      <w:r>
        <w:rPr>
          <w:rFonts w:ascii="Arial" w:eastAsia="Arial" w:hAnsi="Arial" w:cs="Arial"/>
          <w:color w:val="1A1A1A"/>
          <w:sz w:val="21"/>
          <w:szCs w:val="21"/>
        </w:rPr>
        <w:t>Productize the four-stage pipeline as a SaaS module for payers and revenue integrity teams — ingest, SME review queue, impact simulation, audit trail — priced on documents processed or prepay dollars modeled. Requires investment in authentication, role-based SME enforcement, live CMS fetch, and NCCI table import (gaps noted in the ~65% Section 3 maturity review).</w:t>
      </w:r>
    </w:p>
    <w:p w14:paraId="5911AC86" w14:textId="77777777" w:rsidR="000F7D43" w:rsidRDefault="00000000">
      <w:pPr>
        <w:spacing w:after="130" w:line="264" w:lineRule="auto"/>
      </w:pPr>
      <w:r>
        <w:rPr>
          <w:rFonts w:ascii="Arial" w:eastAsia="Arial" w:hAnsi="Arial" w:cs="Arial"/>
          <w:b/>
          <w:bCs/>
          <w:color w:val="1A1A1A"/>
          <w:sz w:val="21"/>
          <w:szCs w:val="21"/>
        </w:rPr>
        <w:t xml:space="preserve">Option 3: Phase 2 VBP contract extension. </w:t>
      </w:r>
      <w:r>
        <w:rPr>
          <w:rFonts w:ascii="Arial" w:eastAsia="Arial" w:hAnsi="Arial" w:cs="Arial"/>
          <w:color w:val="1A1A1A"/>
          <w:sz w:val="21"/>
          <w:szCs w:val="21"/>
        </w:rPr>
        <w:t>Extend agents to payer-provider contracts — quality gates, shared-savings tiers, reconciliation stubs — positioning Cotiviti in contract administration. Sequence after billing-policy credibility is established.</w:t>
      </w:r>
    </w:p>
    <w:p w14:paraId="16148220" w14:textId="77777777" w:rsidR="000F7D43" w:rsidRDefault="00000000">
      <w:pPr>
        <w:spacing w:after="130" w:line="264" w:lineRule="auto"/>
      </w:pPr>
      <w:r>
        <w:rPr>
          <w:rFonts w:ascii="Arial" w:eastAsia="Arial" w:hAnsi="Arial" w:cs="Arial"/>
          <w:b/>
          <w:bCs/>
          <w:color w:val="1A1A1A"/>
          <w:sz w:val="21"/>
          <w:szCs w:val="21"/>
        </w:rPr>
        <w:t xml:space="preserve">Recommended posture: </w:t>
      </w:r>
      <w:r>
        <w:rPr>
          <w:rFonts w:ascii="Arial" w:eastAsia="Arial" w:hAnsi="Arial" w:cs="Arial"/>
          <w:color w:val="1A1A1A"/>
          <w:sz w:val="21"/>
          <w:szCs w:val="21"/>
        </w:rPr>
        <w:t>pursue Options 1 and 2 in parallel — integration for enterprise accounts, standalone module for mid-market — with Option 3 as a twelve-to-eighteen-month extension once SME workflow and export harden.</w:t>
      </w:r>
    </w:p>
    <w:p w14:paraId="2BD0B941" w14:textId="77777777" w:rsidR="000F7D43" w:rsidRDefault="00000000">
      <w:pPr>
        <w:spacing w:before="200" w:after="90"/>
      </w:pPr>
      <w:r>
        <w:rPr>
          <w:rFonts w:ascii="Arial" w:eastAsia="Arial" w:hAnsi="Arial" w:cs="Arial"/>
          <w:b/>
          <w:bCs/>
          <w:color w:val="9579D3"/>
          <w:sz w:val="25"/>
          <w:szCs w:val="25"/>
        </w:rPr>
        <w:t>Conclusion</w:t>
      </w:r>
    </w:p>
    <w:p w14:paraId="015FABDD" w14:textId="77777777" w:rsidR="000F7D43" w:rsidRDefault="00000000">
      <w:pPr>
        <w:spacing w:after="130" w:line="264" w:lineRule="auto"/>
      </w:pPr>
      <w:r>
        <w:rPr>
          <w:rFonts w:ascii="Arial" w:eastAsia="Arial" w:hAnsi="Arial" w:cs="Arial"/>
          <w:color w:val="1A1A1A"/>
          <w:sz w:val="21"/>
          <w:szCs w:val="21"/>
        </w:rPr>
        <w:t>Policy intelligence industrializes Cotiviti’s core competency for an era of AI-augmented, prepay-first payment integrity. The proof of concept demonstrates feasibility across ingest, diff, draft, SME review, and impact simulation while honestly scoping production gaps. The strategic question is not whether to automate policy reading, but how to productize and govern that automation without surrendering the SME accountability that Medicare and commercial payers require.</w:t>
      </w:r>
    </w:p>
    <w:p w14:paraId="4E50E812" w14:textId="77777777" w:rsidR="000F7D43" w:rsidRDefault="00000000">
      <w:r>
        <w:br w:type="page"/>
      </w:r>
    </w:p>
    <w:p w14:paraId="10E3C985" w14:textId="77777777" w:rsidR="000F7D43" w:rsidRDefault="00000000">
      <w:pPr>
        <w:spacing w:before="200" w:after="90"/>
      </w:pPr>
      <w:r>
        <w:rPr>
          <w:rFonts w:ascii="Arial" w:eastAsia="Arial" w:hAnsi="Arial" w:cs="Arial"/>
          <w:b/>
          <w:bCs/>
          <w:color w:val="9579D3"/>
          <w:sz w:val="25"/>
          <w:szCs w:val="25"/>
        </w:rPr>
        <w:lastRenderedPageBreak/>
        <w:t>References</w:t>
      </w:r>
    </w:p>
    <w:p w14:paraId="0DB69D21" w14:textId="77777777" w:rsidR="000F7D43" w:rsidRDefault="00000000">
      <w:pPr>
        <w:spacing w:after="140" w:line="264" w:lineRule="auto"/>
        <w:ind w:left="720" w:hanging="720"/>
      </w:pPr>
      <w:r>
        <w:rPr>
          <w:rFonts w:ascii="Arial" w:eastAsia="Arial" w:hAnsi="Arial" w:cs="Arial"/>
          <w:color w:val="1A1A1A"/>
          <w:sz w:val="21"/>
          <w:szCs w:val="21"/>
        </w:rPr>
        <w:t>Centers for Medicare &amp; Medicaid Services. (n.d.). National Correct Coding Initiative. U.S. Department of Health and Human Services. https://www.cms.gov/medicare/coding-billing/national-correct-coding-initiative-ncci-edits</w:t>
      </w:r>
    </w:p>
    <w:p w14:paraId="31B6BC1A" w14:textId="77777777" w:rsidR="000F7D43" w:rsidRDefault="00000000">
      <w:pPr>
        <w:spacing w:after="140" w:line="264" w:lineRule="auto"/>
        <w:ind w:left="720" w:hanging="720"/>
      </w:pPr>
      <w:r>
        <w:rPr>
          <w:rFonts w:ascii="Arial" w:eastAsia="Arial" w:hAnsi="Arial" w:cs="Arial"/>
          <w:color w:val="1A1A1A"/>
          <w:sz w:val="21"/>
          <w:szCs w:val="21"/>
        </w:rPr>
        <w:t>Centers for Medicare &amp; Medicaid Services. (2025). Medicare NCCI policy manual (2025 ed.). https://www.cms.gov/files/document/2025nccimedicarepolicymanualcompletepdf.pdf</w:t>
      </w:r>
    </w:p>
    <w:p w14:paraId="4A5B055D" w14:textId="77777777" w:rsidR="000F7D43" w:rsidRDefault="00000000">
      <w:pPr>
        <w:spacing w:after="140" w:line="264" w:lineRule="auto"/>
        <w:ind w:left="720" w:hanging="720"/>
      </w:pPr>
      <w:r>
        <w:rPr>
          <w:rFonts w:ascii="Arial" w:eastAsia="Arial" w:hAnsi="Arial" w:cs="Arial"/>
          <w:color w:val="1A1A1A"/>
          <w:sz w:val="21"/>
          <w:szCs w:val="21"/>
        </w:rPr>
        <w:t>Cotiviti. (2026). Policy Intelligence Pipeline (Version hackathon POC) [Computer software]. https://github.com/cotiviti/policy-intelligence-pipeline</w:t>
      </w:r>
    </w:p>
    <w:p w14:paraId="20E9AB69" w14:textId="77777777" w:rsidR="000F7D43" w:rsidRDefault="00000000">
      <w:pPr>
        <w:spacing w:after="140" w:line="264" w:lineRule="auto"/>
        <w:ind w:left="720" w:hanging="720"/>
      </w:pPr>
      <w:r>
        <w:rPr>
          <w:rFonts w:ascii="Arial" w:eastAsia="Arial" w:hAnsi="Arial" w:cs="Arial"/>
          <w:color w:val="1A1A1A"/>
          <w:sz w:val="21"/>
          <w:szCs w:val="21"/>
        </w:rPr>
        <w:t>Edifecs. (2025). Agentic deployment with human oversight [Product brief]. https://www.edifecs.com</w:t>
      </w:r>
    </w:p>
    <w:p w14:paraId="3F61A0D4" w14:textId="77777777" w:rsidR="000F7D43" w:rsidRDefault="00000000">
      <w:pPr>
        <w:spacing w:after="140" w:line="264" w:lineRule="auto"/>
        <w:ind w:left="720" w:hanging="720"/>
      </w:pPr>
      <w:r>
        <w:rPr>
          <w:rFonts w:ascii="Arial" w:eastAsia="Arial" w:hAnsi="Arial" w:cs="Arial"/>
          <w:color w:val="1A1A1A"/>
          <w:sz w:val="21"/>
          <w:szCs w:val="21"/>
        </w:rPr>
        <w:t>HFMA. (2024). Payment integrity trends: Prepayment vs. post-payment recovery. Healthcare Financial Management Association. https://www.hfma.org</w:t>
      </w:r>
    </w:p>
    <w:p w14:paraId="1F63BC02" w14:textId="77777777" w:rsidR="000F7D43" w:rsidRDefault="00000000">
      <w:pPr>
        <w:spacing w:after="140" w:line="264" w:lineRule="auto"/>
        <w:ind w:left="720" w:hanging="720"/>
      </w:pPr>
      <w:r>
        <w:rPr>
          <w:rFonts w:ascii="Arial" w:eastAsia="Arial" w:hAnsi="Arial" w:cs="Arial"/>
          <w:color w:val="1A1A1A"/>
          <w:sz w:val="21"/>
          <w:szCs w:val="21"/>
        </w:rPr>
        <w:t>McKinsey &amp; Company. (2024). Value-based care: Scaling what works in healthcare payment reform. https://www.mckinsey.com/industries/healthcare</w:t>
      </w:r>
    </w:p>
    <w:p w14:paraId="50306E25" w14:textId="77777777" w:rsidR="000F7D43" w:rsidRDefault="00000000">
      <w:pPr>
        <w:spacing w:after="140" w:line="264" w:lineRule="auto"/>
        <w:ind w:left="720" w:hanging="720"/>
      </w:pPr>
      <w:r>
        <w:rPr>
          <w:rFonts w:ascii="Arial" w:eastAsia="Arial" w:hAnsi="Arial" w:cs="Arial"/>
          <w:color w:val="1A1A1A"/>
          <w:sz w:val="21"/>
          <w:szCs w:val="21"/>
        </w:rPr>
        <w:t>NAHRI. (2025, June). CMS publishes 2025 Q3 update for NCCI edit files. NAHRI. https://nahri.org/articles/cms-publishes-2025-q3-update-ncci-edit-files</w:t>
      </w:r>
    </w:p>
    <w:p w14:paraId="6CFE5DFA" w14:textId="77777777" w:rsidR="000F7D43" w:rsidRDefault="00000000">
      <w:pPr>
        <w:spacing w:after="140" w:line="264" w:lineRule="auto"/>
        <w:ind w:left="720" w:hanging="720"/>
      </w:pPr>
      <w:proofErr w:type="spellStart"/>
      <w:r>
        <w:rPr>
          <w:rFonts w:ascii="Arial" w:eastAsia="Arial" w:hAnsi="Arial" w:cs="Arial"/>
          <w:color w:val="1A1A1A"/>
          <w:sz w:val="21"/>
          <w:szCs w:val="21"/>
        </w:rPr>
        <w:t>Rajkomar</w:t>
      </w:r>
      <w:proofErr w:type="spellEnd"/>
      <w:r>
        <w:rPr>
          <w:rFonts w:ascii="Arial" w:eastAsia="Arial" w:hAnsi="Arial" w:cs="Arial"/>
          <w:color w:val="1A1A1A"/>
          <w:sz w:val="21"/>
          <w:szCs w:val="21"/>
        </w:rPr>
        <w:t xml:space="preserve">, A., Dean, J., &amp; </w:t>
      </w:r>
      <w:proofErr w:type="spellStart"/>
      <w:r>
        <w:rPr>
          <w:rFonts w:ascii="Arial" w:eastAsia="Arial" w:hAnsi="Arial" w:cs="Arial"/>
          <w:color w:val="1A1A1A"/>
          <w:sz w:val="21"/>
          <w:szCs w:val="21"/>
        </w:rPr>
        <w:t>Kohane</w:t>
      </w:r>
      <w:proofErr w:type="spellEnd"/>
      <w:r>
        <w:rPr>
          <w:rFonts w:ascii="Arial" w:eastAsia="Arial" w:hAnsi="Arial" w:cs="Arial"/>
          <w:color w:val="1A1A1A"/>
          <w:sz w:val="21"/>
          <w:szCs w:val="21"/>
        </w:rPr>
        <w:t>, I. (2019). Machine learning in medicine. New England Journal of Medicine, 380(14), 1347–1358. https://doi.org/10.1056/NEJMra1814259</w:t>
      </w:r>
    </w:p>
    <w:sectPr w:rsidR="000F7D43">
      <w:head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D7B0" w14:textId="77777777" w:rsidR="004313B7" w:rsidRDefault="004313B7">
      <w:r>
        <w:separator/>
      </w:r>
    </w:p>
  </w:endnote>
  <w:endnote w:type="continuationSeparator" w:id="0">
    <w:p w14:paraId="0D21C380" w14:textId="77777777" w:rsidR="004313B7" w:rsidRDefault="00431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CBFC" w14:textId="77777777" w:rsidR="004313B7" w:rsidRDefault="004313B7">
      <w:r>
        <w:separator/>
      </w:r>
    </w:p>
  </w:footnote>
  <w:footnote w:type="continuationSeparator" w:id="0">
    <w:p w14:paraId="4A3A9725" w14:textId="77777777" w:rsidR="004313B7" w:rsidRDefault="00431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44482" w14:textId="77777777" w:rsidR="000F7D43" w:rsidRDefault="00000000">
    <w:r>
      <w:rPr>
        <w:noProof/>
      </w:rPr>
      <w:drawing>
        <wp:inline distT="0" distB="0" distL="0" distR="0" wp14:anchorId="4639F065" wp14:editId="37C82989">
          <wp:extent cx="144780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47800"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0B63"/>
    <w:multiLevelType w:val="hybridMultilevel"/>
    <w:tmpl w:val="09381D42"/>
    <w:lvl w:ilvl="0" w:tplc="C1C2E024">
      <w:start w:val="1"/>
      <w:numFmt w:val="bullet"/>
      <w:lvlText w:val="●"/>
      <w:lvlJc w:val="left"/>
      <w:pPr>
        <w:ind w:left="720" w:hanging="360"/>
      </w:pPr>
    </w:lvl>
    <w:lvl w:ilvl="1" w:tplc="5ADABD30">
      <w:start w:val="1"/>
      <w:numFmt w:val="bullet"/>
      <w:lvlText w:val="○"/>
      <w:lvlJc w:val="left"/>
      <w:pPr>
        <w:ind w:left="1440" w:hanging="360"/>
      </w:pPr>
    </w:lvl>
    <w:lvl w:ilvl="2" w:tplc="70F4BC52">
      <w:start w:val="1"/>
      <w:numFmt w:val="bullet"/>
      <w:lvlText w:val="■"/>
      <w:lvlJc w:val="left"/>
      <w:pPr>
        <w:ind w:left="2160" w:hanging="360"/>
      </w:pPr>
    </w:lvl>
    <w:lvl w:ilvl="3" w:tplc="3866FA42">
      <w:start w:val="1"/>
      <w:numFmt w:val="bullet"/>
      <w:lvlText w:val="●"/>
      <w:lvlJc w:val="left"/>
      <w:pPr>
        <w:ind w:left="2880" w:hanging="360"/>
      </w:pPr>
    </w:lvl>
    <w:lvl w:ilvl="4" w:tplc="40683786">
      <w:start w:val="1"/>
      <w:numFmt w:val="bullet"/>
      <w:lvlText w:val="○"/>
      <w:lvlJc w:val="left"/>
      <w:pPr>
        <w:ind w:left="3600" w:hanging="360"/>
      </w:pPr>
    </w:lvl>
    <w:lvl w:ilvl="5" w:tplc="74C8844A">
      <w:start w:val="1"/>
      <w:numFmt w:val="bullet"/>
      <w:lvlText w:val="■"/>
      <w:lvlJc w:val="left"/>
      <w:pPr>
        <w:ind w:left="4320" w:hanging="360"/>
      </w:pPr>
    </w:lvl>
    <w:lvl w:ilvl="6" w:tplc="9070AFD8">
      <w:start w:val="1"/>
      <w:numFmt w:val="bullet"/>
      <w:lvlText w:val="●"/>
      <w:lvlJc w:val="left"/>
      <w:pPr>
        <w:ind w:left="5040" w:hanging="360"/>
      </w:pPr>
    </w:lvl>
    <w:lvl w:ilvl="7" w:tplc="6F14D258">
      <w:start w:val="1"/>
      <w:numFmt w:val="bullet"/>
      <w:lvlText w:val="●"/>
      <w:lvlJc w:val="left"/>
      <w:pPr>
        <w:ind w:left="5760" w:hanging="360"/>
      </w:pPr>
    </w:lvl>
    <w:lvl w:ilvl="8" w:tplc="261AFD56">
      <w:start w:val="1"/>
      <w:numFmt w:val="bullet"/>
      <w:lvlText w:val="●"/>
      <w:lvlJc w:val="left"/>
      <w:pPr>
        <w:ind w:left="6480" w:hanging="360"/>
      </w:pPr>
    </w:lvl>
  </w:abstractNum>
  <w:num w:numId="1" w16cid:durableId="1425228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D43"/>
    <w:rsid w:val="000F7D43"/>
    <w:rsid w:val="004313B7"/>
    <w:rsid w:val="009F0A08"/>
    <w:rsid w:val="00BB0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76008"/>
  <w15:docId w15:val="{D405D57B-75BD-DA41-B5EC-7827A3EB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Bhuvanesh Suryadevara</cp:lastModifiedBy>
  <cp:revision>2</cp:revision>
  <dcterms:created xsi:type="dcterms:W3CDTF">2026-07-01T17:41:00Z</dcterms:created>
  <dcterms:modified xsi:type="dcterms:W3CDTF">2026-07-01T21:41:00Z</dcterms:modified>
</cp:coreProperties>
</file>