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Transactions2:</w:t>
      </w:r>
    </w:p>
    <w:p>
      <w:pPr>
        <w:pStyle w:val="Normal"/>
        <w:bidi w:val="0"/>
        <w:jc w:val="start"/>
        <w:rPr/>
      </w:pPr>
      <w:r>
        <w:rPr/>
      </w:r>
    </w:p>
    <w:p>
      <w:pPr>
        <w:pStyle w:val="Normal"/>
        <w:bidi w:val="0"/>
        <w:jc w:val="start"/>
        <w:rPr>
          <w:b w:val="false"/>
          <w:bCs w:val="false"/>
        </w:rPr>
      </w:pPr>
      <w:r>
        <w:rPr>
          <w:b w:val="false"/>
          <w:bCs w:val="false"/>
        </w:rPr>
        <w:t>Transactions in Distributed environment.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Isolation means every transaction should work independently, work in series of operations.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How much isolation? </w:t>
      </w:r>
    </w:p>
    <w:p>
      <w:pPr>
        <w:pStyle w:val="Normal"/>
        <w:bidi w:val="0"/>
        <w:jc w:val="start"/>
        <w:rPr>
          <w:b w:val="false"/>
          <w:bCs w:val="false"/>
        </w:rPr>
      </w:pPr>
      <w:r>
        <w:rPr>
          <w:b w:val="false"/>
          <w:bCs w:val="false"/>
        </w:rPr>
        <w:t>- should Transaction ‘T2’ read only committed data from ‘T1’</w:t>
      </w:r>
    </w:p>
    <w:p>
      <w:pPr>
        <w:pStyle w:val="Normal"/>
        <w:bidi w:val="0"/>
        <w:jc w:val="start"/>
        <w:rPr>
          <w:b w:val="false"/>
          <w:bCs w:val="false"/>
        </w:rPr>
      </w:pPr>
      <w:r>
        <w:rPr>
          <w:b w:val="false"/>
          <w:bCs w:val="false"/>
        </w:rPr>
        <w:t>- can it read uncommitted data also</w:t>
      </w:r>
    </w:p>
    <w:p>
      <w:pPr>
        <w:pStyle w:val="Normal"/>
        <w:bidi w:val="0"/>
        <w:jc w:val="start"/>
        <w:rPr>
          <w:b w:val="false"/>
          <w:bCs w:val="false"/>
        </w:rPr>
      </w:pPr>
      <w:r>
        <w:rPr>
          <w:b w:val="false"/>
          <w:bCs w:val="false"/>
        </w:rPr>
        <w:t xml:space="preserve">- should we in a Wait state or should we create Locks for our resources + stream. If one transaction creates streams, other transaction will wait for sometime.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u w:val="single"/>
        </w:rPr>
        <w:t>Anomalies / Problems:</w:t>
      </w:r>
      <w:r>
        <w:rPr>
          <w:b w:val="false"/>
          <w:bCs w:val="false"/>
        </w:rPr>
        <w:t xml:space="preserve"> 3 major database issues which we are going to solve with Isolation</w:t>
      </w:r>
    </w:p>
    <w:p>
      <w:pPr>
        <w:pStyle w:val="Normal"/>
        <w:bidi w:val="0"/>
        <w:jc w:val="start"/>
        <w:rPr>
          <w:b w:val="false"/>
          <w:bCs w:val="false"/>
        </w:rPr>
      </w:pPr>
      <w:r>
        <w:rPr>
          <w:b w:val="false"/>
          <w:bCs w:val="false"/>
        </w:rPr>
        <w:t>1. Dirty read → Reading uncommitted changes</w:t>
      </w:r>
    </w:p>
    <w:tbl>
      <w:tblPr>
        <w:tblW w:w="9969" w:type="dxa"/>
        <w:jc w:val="start"/>
        <w:tblInd w:w="0" w:type="dxa"/>
        <w:tblLayout w:type="fixed"/>
        <w:tblCellMar>
          <w:top w:w="0" w:type="dxa"/>
          <w:start w:w="0" w:type="dxa"/>
          <w:bottom w:w="0" w:type="dxa"/>
          <w:end w:w="0" w:type="dxa"/>
        </w:tblCellMar>
      </w:tblPr>
      <w:tblGrid>
        <w:gridCol w:w="9497"/>
        <w:gridCol w:w="472"/>
      </w:tblGrid>
      <w:tr>
        <w:trPr/>
        <w:tc>
          <w:tcPr>
            <w:tcW w:w="9497" w:type="dxa"/>
            <w:tcBorders/>
          </w:tcPr>
          <w:p>
            <w:pPr>
              <w:pStyle w:val="TableContents"/>
              <w:rPr/>
            </w:pPr>
            <w:r>
              <w:rPr/>
            </w:r>
          </w:p>
        </w:tc>
        <w:tc>
          <w:tcPr>
            <w:tcW w:w="472" w:type="dxa"/>
            <w:tcBorders/>
          </w:tcPr>
          <w:p>
            <w:pPr>
              <w:pStyle w:val="TableContents"/>
              <w:rPr/>
            </w:pPr>
            <w:r>
              <w:rPr/>
            </w:r>
          </w:p>
        </w:tc>
      </w:tr>
      <w:tr>
        <w:trPr/>
        <w:tc>
          <w:tcPr>
            <w:tcW w:w="9497" w:type="dxa"/>
            <w:tcBorders/>
          </w:tcPr>
          <w:tbl>
            <w:tblPr>
              <w:tblW w:w="9857" w:type="dxa"/>
              <w:jc w:val="start"/>
              <w:tblInd w:w="0" w:type="dxa"/>
              <w:tblLayout w:type="fixed"/>
              <w:tblCellMar>
                <w:top w:w="55" w:type="dxa"/>
                <w:start w:w="55" w:type="dxa"/>
                <w:bottom w:w="55" w:type="dxa"/>
                <w:end w:w="55" w:type="dxa"/>
              </w:tblCellMar>
            </w:tblPr>
            <w:tblGrid>
              <w:gridCol w:w="4634"/>
              <w:gridCol w:w="5223"/>
            </w:tblGrid>
            <w:tr>
              <w:trPr/>
              <w:tc>
                <w:tcPr>
                  <w:tcW w:w="4634" w:type="dxa"/>
                  <w:tcBorders>
                    <w:top w:val="single" w:sz="4" w:space="0" w:color="000000"/>
                    <w:start w:val="single" w:sz="4" w:space="0" w:color="000000"/>
                    <w:bottom w:val="single" w:sz="4" w:space="0" w:color="000000"/>
                  </w:tcBorders>
                </w:tcPr>
                <w:p>
                  <w:pPr>
                    <w:pStyle w:val="TableContents"/>
                    <w:rPr/>
                  </w:pPr>
                  <w:r>
                    <w:rPr/>
                    <w:t>Transaction T1</w:t>
                  </w:r>
                </w:p>
              </w:tc>
              <w:tc>
                <w:tcPr>
                  <w:tcW w:w="5223" w:type="dxa"/>
                  <w:tcBorders>
                    <w:top w:val="single" w:sz="4" w:space="0" w:color="000000"/>
                    <w:start w:val="single" w:sz="4" w:space="0" w:color="000000"/>
                    <w:bottom w:val="single" w:sz="4" w:space="0" w:color="000000"/>
                    <w:end w:val="single" w:sz="4" w:space="0" w:color="000000"/>
                  </w:tcBorders>
                </w:tcPr>
                <w:p>
                  <w:pPr>
                    <w:pStyle w:val="TableContents"/>
                    <w:rPr/>
                  </w:pPr>
                  <w:r>
                    <w:rPr/>
                    <w:t>Transaction T2</w:t>
                  </w:r>
                </w:p>
              </w:tc>
            </w:tr>
            <w:tr>
              <w:trPr/>
              <w:tc>
                <w:tcPr>
                  <w:tcW w:w="4634" w:type="dxa"/>
                  <w:tcBorders>
                    <w:start w:val="single" w:sz="4" w:space="0" w:color="000000"/>
                    <w:bottom w:val="single" w:sz="4" w:space="0" w:color="000000"/>
                  </w:tcBorders>
                </w:tcPr>
                <w:p>
                  <w:pPr>
                    <w:pStyle w:val="TableContents"/>
                    <w:rPr/>
                  </w:pPr>
                  <w:r>
                    <w:rPr/>
                    <w:t>Write changing value W(A--&gt;B)</w:t>
                  </w:r>
                </w:p>
              </w:tc>
              <w:tc>
                <w:tcPr>
                  <w:tcW w:w="5223" w:type="dxa"/>
                  <w:tcBorders>
                    <w:start w:val="single" w:sz="4" w:space="0" w:color="000000"/>
                    <w:bottom w:val="single" w:sz="4" w:space="0" w:color="000000"/>
                    <w:end w:val="single" w:sz="4" w:space="0" w:color="000000"/>
                  </w:tcBorders>
                </w:tcPr>
                <w:p>
                  <w:pPr>
                    <w:pStyle w:val="TableContents"/>
                    <w:rPr/>
                  </w:pPr>
                  <w:r>
                    <w:rPr/>
                  </w:r>
                </w:p>
              </w:tc>
            </w:tr>
            <w:tr>
              <w:trPr/>
              <w:tc>
                <w:tcPr>
                  <w:tcW w:w="4634" w:type="dxa"/>
                  <w:tcBorders>
                    <w:start w:val="single" w:sz="4" w:space="0" w:color="000000"/>
                    <w:bottom w:val="single" w:sz="4" w:space="0" w:color="000000"/>
                  </w:tcBorders>
                </w:tcPr>
                <w:p>
                  <w:pPr>
                    <w:pStyle w:val="TableContents"/>
                    <w:rPr/>
                  </w:pPr>
                  <w:r>
                    <w:rPr/>
                  </w:r>
                </w:p>
              </w:tc>
              <w:tc>
                <w:tcPr>
                  <w:tcW w:w="5223" w:type="dxa"/>
                  <w:tcBorders>
                    <w:start w:val="single" w:sz="4" w:space="0" w:color="000000"/>
                    <w:bottom w:val="single" w:sz="4" w:space="0" w:color="000000"/>
                    <w:end w:val="single" w:sz="4" w:space="0" w:color="000000"/>
                  </w:tcBorders>
                </w:tcPr>
                <w:p>
                  <w:pPr>
                    <w:pStyle w:val="TableContents"/>
                    <w:rPr/>
                  </w:pPr>
                  <w:r>
                    <w:rPr/>
                    <w:t>Read(B) which is an uncommitted value</w:t>
                  </w:r>
                </w:p>
              </w:tc>
            </w:tr>
            <w:tr>
              <w:trPr/>
              <w:tc>
                <w:tcPr>
                  <w:tcW w:w="4634" w:type="dxa"/>
                  <w:tcBorders>
                    <w:start w:val="single" w:sz="4" w:space="0" w:color="000000"/>
                    <w:bottom w:val="single" w:sz="4" w:space="0" w:color="000000"/>
                  </w:tcBorders>
                </w:tcPr>
                <w:p>
                  <w:pPr>
                    <w:pStyle w:val="TableContents"/>
                    <w:rPr/>
                  </w:pPr>
                  <w:r>
                    <w:rPr/>
                    <w:t>RolledBack</w:t>
                  </w:r>
                </w:p>
              </w:tc>
              <w:tc>
                <w:tcPr>
                  <w:tcW w:w="5223" w:type="dxa"/>
                  <w:tcBorders>
                    <w:start w:val="single" w:sz="4" w:space="0" w:color="000000"/>
                    <w:bottom w:val="single" w:sz="4" w:space="0" w:color="000000"/>
                    <w:end w:val="single" w:sz="4" w:space="0" w:color="000000"/>
                  </w:tcBorders>
                </w:tcPr>
                <w:p>
                  <w:pPr>
                    <w:pStyle w:val="TableContents"/>
                    <w:rPr/>
                  </w:pPr>
                  <w:r>
                    <w:rPr/>
                  </w:r>
                </w:p>
              </w:tc>
            </w:tr>
          </w:tbl>
          <w:p>
            <w:pPr>
              <w:pStyle w:val="TableContents"/>
              <w:rPr/>
            </w:pPr>
            <w:r>
              <w:rPr/>
            </w:r>
          </w:p>
        </w:tc>
        <w:tc>
          <w:tcPr>
            <w:tcW w:w="472" w:type="dxa"/>
            <w:tcBorders/>
          </w:tcPr>
          <w:p>
            <w:pPr>
              <w:pStyle w:val="TableContents"/>
              <w:rPr/>
            </w:pPr>
            <w:r>
              <w:rPr/>
            </w:r>
          </w:p>
        </w:tc>
      </w:tr>
      <w:tr>
        <w:trPr/>
        <w:tc>
          <w:tcPr>
            <w:tcW w:w="9497" w:type="dxa"/>
            <w:tcBorders/>
          </w:tcPr>
          <w:p>
            <w:pPr>
              <w:pStyle w:val="TableContents"/>
              <w:rPr/>
            </w:pPr>
            <w:r>
              <w:rPr/>
            </w:r>
          </w:p>
        </w:tc>
        <w:tc>
          <w:tcPr>
            <w:tcW w:w="472" w:type="dxa"/>
            <w:tcBorders/>
          </w:tcPr>
          <w:p>
            <w:pPr>
              <w:pStyle w:val="TableContents"/>
              <w:rPr/>
            </w:pPr>
            <w:r>
              <w:rPr/>
            </w:r>
          </w:p>
        </w:tc>
      </w:tr>
      <w:tr>
        <w:trPr/>
        <w:tc>
          <w:tcPr>
            <w:tcW w:w="9497" w:type="dxa"/>
            <w:tcBorders/>
          </w:tcPr>
          <w:p>
            <w:pPr>
              <w:pStyle w:val="TableContents"/>
              <w:rPr/>
            </w:pPr>
            <w:r>
              <w:rPr/>
              <w:t xml:space="preserve">Transaction T1 is making a change, it changed value from A to B. Only when transactions are committed, we put them into the database so data remains in the proper state. </w:t>
            </w:r>
          </w:p>
          <w:p>
            <w:pPr>
              <w:pStyle w:val="TableContents"/>
              <w:rPr/>
            </w:pPr>
            <w:r>
              <w:rPr/>
            </w:r>
          </w:p>
          <w:p>
            <w:pPr>
              <w:pStyle w:val="TableContents"/>
              <w:rPr/>
            </w:pPr>
            <w:r>
              <w:rPr/>
              <w:t>2. NonRepeatable Read:</w:t>
            </w:r>
          </w:p>
          <w:p>
            <w:pPr>
              <w:pStyle w:val="TableContents"/>
              <w:rPr/>
            </w:pPr>
            <w:r>
              <w:rPr/>
              <w:t>- same row is showing different values</w:t>
            </w:r>
          </w:p>
          <w:tbl>
            <w:tblPr>
              <w:tblW w:w="5000" w:type="pct"/>
              <w:jc w:val="start"/>
              <w:tblInd w:w="0" w:type="dxa"/>
              <w:tblLayout w:type="fixed"/>
              <w:tblCellMar>
                <w:top w:w="55" w:type="dxa"/>
                <w:start w:w="55" w:type="dxa"/>
                <w:bottom w:w="55" w:type="dxa"/>
                <w:end w:w="55" w:type="dxa"/>
              </w:tblCellMar>
            </w:tblPr>
            <w:tblGrid>
              <w:gridCol w:w="4748"/>
              <w:gridCol w:w="4749"/>
            </w:tblGrid>
            <w:tr>
              <w:trPr/>
              <w:tc>
                <w:tcPr>
                  <w:tcW w:w="4748" w:type="dxa"/>
                  <w:tcBorders>
                    <w:top w:val="single" w:sz="4" w:space="0" w:color="000000"/>
                    <w:start w:val="single" w:sz="4" w:space="0" w:color="000000"/>
                    <w:bottom w:val="single" w:sz="4" w:space="0" w:color="000000"/>
                  </w:tcBorders>
                </w:tcPr>
                <w:p>
                  <w:pPr>
                    <w:pStyle w:val="TableContents"/>
                    <w:rPr/>
                  </w:pPr>
                  <w:r>
                    <w:rPr/>
                    <w:t>Transaction T1</w:t>
                  </w:r>
                </w:p>
              </w:tc>
              <w:tc>
                <w:tcPr>
                  <w:tcW w:w="4749" w:type="dxa"/>
                  <w:tcBorders>
                    <w:top w:val="single" w:sz="4" w:space="0" w:color="000000"/>
                    <w:start w:val="single" w:sz="4" w:space="0" w:color="000000"/>
                    <w:bottom w:val="single" w:sz="4" w:space="0" w:color="000000"/>
                    <w:end w:val="single" w:sz="4" w:space="0" w:color="000000"/>
                  </w:tcBorders>
                </w:tcPr>
                <w:p>
                  <w:pPr>
                    <w:pStyle w:val="TableContents"/>
                    <w:rPr/>
                  </w:pPr>
                  <w:r>
                    <w:rPr/>
                    <w:t>Transaction T2</w:t>
                  </w:r>
                </w:p>
              </w:tc>
            </w:tr>
            <w:tr>
              <w:trPr/>
              <w:tc>
                <w:tcPr>
                  <w:tcW w:w="4748" w:type="dxa"/>
                  <w:tcBorders>
                    <w:start w:val="single" w:sz="4" w:space="0" w:color="000000"/>
                    <w:bottom w:val="single" w:sz="4" w:space="0" w:color="000000"/>
                  </w:tcBorders>
                </w:tcPr>
                <w:p>
                  <w:pPr>
                    <w:pStyle w:val="TableContents"/>
                    <w:rPr/>
                  </w:pPr>
                  <w:r>
                    <w:rPr/>
                    <w:t>Read(empID=1)</w:t>
                  </w:r>
                </w:p>
              </w:tc>
              <w:tc>
                <w:tcPr>
                  <w:tcW w:w="4749" w:type="dxa"/>
                  <w:tcBorders>
                    <w:start w:val="single" w:sz="4" w:space="0" w:color="000000"/>
                    <w:bottom w:val="single" w:sz="4" w:space="0" w:color="000000"/>
                    <w:end w:val="single" w:sz="4" w:space="0" w:color="000000"/>
                  </w:tcBorders>
                </w:tcPr>
                <w:p>
                  <w:pPr>
                    <w:pStyle w:val="TableContents"/>
                    <w:rPr/>
                  </w:pPr>
                  <w:r>
                    <w:rPr/>
                  </w:r>
                </w:p>
              </w:tc>
            </w:tr>
            <w:tr>
              <w:trPr/>
              <w:tc>
                <w:tcPr>
                  <w:tcW w:w="4748" w:type="dxa"/>
                  <w:tcBorders>
                    <w:start w:val="single" w:sz="4" w:space="0" w:color="000000"/>
                    <w:bottom w:val="single" w:sz="4" w:space="0" w:color="000000"/>
                  </w:tcBorders>
                </w:tcPr>
                <w:p>
                  <w:pPr>
                    <w:pStyle w:val="TableContents"/>
                    <w:rPr/>
                  </w:pPr>
                  <w:r>
                    <w:rPr/>
                  </w:r>
                </w:p>
              </w:tc>
              <w:tc>
                <w:tcPr>
                  <w:tcW w:w="4749" w:type="dxa"/>
                  <w:tcBorders>
                    <w:start w:val="single" w:sz="4" w:space="0" w:color="000000"/>
                    <w:bottom w:val="single" w:sz="4" w:space="0" w:color="000000"/>
                    <w:end w:val="single" w:sz="4" w:space="0" w:color="000000"/>
                  </w:tcBorders>
                </w:tcPr>
                <w:p>
                  <w:pPr>
                    <w:pStyle w:val="TableContents"/>
                    <w:rPr/>
                  </w:pPr>
                  <w:r>
                    <w:rPr/>
                    <w:t>Write(change name for empID=1)</w:t>
                  </w:r>
                </w:p>
              </w:tc>
            </w:tr>
            <w:tr>
              <w:trPr/>
              <w:tc>
                <w:tcPr>
                  <w:tcW w:w="4748" w:type="dxa"/>
                  <w:tcBorders>
                    <w:start w:val="single" w:sz="4" w:space="0" w:color="000000"/>
                    <w:bottom w:val="single" w:sz="4" w:space="0" w:color="000000"/>
                  </w:tcBorders>
                </w:tcPr>
                <w:p>
                  <w:pPr>
                    <w:pStyle w:val="TableContents"/>
                    <w:rPr/>
                  </w:pPr>
                  <w:r>
                    <w:rPr/>
                    <w:t>Read(empID=1) returns a new name</w:t>
                  </w:r>
                </w:p>
              </w:tc>
              <w:tc>
                <w:tcPr>
                  <w:tcW w:w="4749" w:type="dxa"/>
                  <w:tcBorders>
                    <w:start w:val="single" w:sz="4" w:space="0" w:color="000000"/>
                    <w:bottom w:val="single" w:sz="4" w:space="0" w:color="000000"/>
                    <w:end w:val="single" w:sz="4" w:space="0" w:color="000000"/>
                  </w:tcBorders>
                </w:tcPr>
                <w:p>
                  <w:pPr>
                    <w:pStyle w:val="TableContents"/>
                    <w:rPr/>
                  </w:pPr>
                  <w:r>
                    <w:rPr/>
                  </w:r>
                </w:p>
              </w:tc>
            </w:tr>
          </w:tbl>
          <w:p>
            <w:pPr>
              <w:pStyle w:val="TableContents"/>
              <w:rPr/>
            </w:pPr>
            <w:r>
              <w:rPr/>
            </w:r>
          </w:p>
        </w:tc>
        <w:tc>
          <w:tcPr>
            <w:tcW w:w="472" w:type="dxa"/>
            <w:tcBorders/>
          </w:tcPr>
          <w:p>
            <w:pPr>
              <w:pStyle w:val="TableContents"/>
              <w:rPr/>
            </w:pPr>
            <w:r>
              <w:rPr/>
            </w:r>
          </w:p>
        </w:tc>
      </w:tr>
      <w:tr>
        <w:trPr/>
        <w:tc>
          <w:tcPr>
            <w:tcW w:w="9497" w:type="dxa"/>
            <w:tcBorders/>
          </w:tcPr>
          <w:p>
            <w:pPr>
              <w:pStyle w:val="TableContents"/>
              <w:rPr/>
            </w:pPr>
            <w:r>
              <w:rPr/>
            </w:r>
          </w:p>
        </w:tc>
        <w:tc>
          <w:tcPr>
            <w:tcW w:w="472" w:type="dxa"/>
            <w:tcBorders/>
          </w:tcPr>
          <w:p>
            <w:pPr>
              <w:pStyle w:val="TableContents"/>
              <w:rPr/>
            </w:pPr>
            <w:r>
              <w:rPr/>
            </w:r>
          </w:p>
        </w:tc>
      </w:tr>
    </w:tbl>
    <w:p>
      <w:pPr>
        <w:pStyle w:val="Normal"/>
        <w:bidi w:val="0"/>
        <w:jc w:val="start"/>
        <w:rPr>
          <w:b w:val="false"/>
          <w:bCs w:val="false"/>
        </w:rPr>
      </w:pPr>
      <w:r>
        <w:rPr>
          <w:b w:val="false"/>
          <w:bCs w:val="false"/>
        </w:rPr>
        <w:t>Inside single Transaction T1, when we do Read operations twice, we get different values (names) this is issue number 2, which is non-repeatable reads. changing the same record</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3. PhatomRead:</w:t>
      </w:r>
    </w:p>
    <w:p>
      <w:pPr>
        <w:pStyle w:val="Normal"/>
        <w:bidi w:val="0"/>
        <w:jc w:val="start"/>
        <w:rPr>
          <w:b w:val="false"/>
          <w:bCs w:val="false"/>
        </w:rPr>
      </w:pPr>
      <w:r>
        <w:rPr>
          <w:b w:val="false"/>
          <w:bCs w:val="false"/>
        </w:rPr>
        <w:t xml:space="preserve">- same query will lead us to different results. </w:t>
      </w:r>
    </w:p>
    <w:tbl>
      <w:tblPr>
        <w:tblW w:w="5000" w:type="pct"/>
        <w:jc w:val="start"/>
        <w:tblInd w:w="-5" w:type="dxa"/>
        <w:tblLayout w:type="fixed"/>
        <w:tblCellMar>
          <w:top w:w="55" w:type="dxa"/>
          <w:start w:w="55" w:type="dxa"/>
          <w:bottom w:w="55" w:type="dxa"/>
          <w:end w:w="55" w:type="dxa"/>
        </w:tblCellMar>
      </w:tblPr>
      <w:tblGrid>
        <w:gridCol w:w="4985"/>
        <w:gridCol w:w="4987"/>
      </w:tblGrid>
      <w:tr>
        <w:trPr/>
        <w:tc>
          <w:tcPr>
            <w:tcW w:w="4985" w:type="dxa"/>
            <w:tcBorders>
              <w:top w:val="single" w:sz="4" w:space="0" w:color="000000"/>
              <w:start w:val="single" w:sz="4" w:space="0" w:color="000000"/>
              <w:bottom w:val="single" w:sz="4" w:space="0" w:color="000000"/>
            </w:tcBorders>
          </w:tcPr>
          <w:p>
            <w:pPr>
              <w:pStyle w:val="TableContents"/>
              <w:rPr/>
            </w:pPr>
            <w:r>
              <w:rPr/>
              <w:t>Transaction T1</w:t>
            </w:r>
          </w:p>
        </w:tc>
        <w:tc>
          <w:tcPr>
            <w:tcW w:w="4987" w:type="dxa"/>
            <w:tcBorders>
              <w:top w:val="single" w:sz="4" w:space="0" w:color="000000"/>
              <w:start w:val="single" w:sz="4" w:space="0" w:color="000000"/>
              <w:bottom w:val="single" w:sz="4" w:space="0" w:color="000000"/>
              <w:end w:val="single" w:sz="4" w:space="0" w:color="000000"/>
            </w:tcBorders>
          </w:tcPr>
          <w:p>
            <w:pPr>
              <w:pStyle w:val="TableContents"/>
              <w:rPr/>
            </w:pPr>
            <w:r>
              <w:rPr/>
              <w:t>Transaction T2</w:t>
            </w:r>
          </w:p>
        </w:tc>
      </w:tr>
      <w:tr>
        <w:trPr/>
        <w:tc>
          <w:tcPr>
            <w:tcW w:w="4985" w:type="dxa"/>
            <w:tcBorders>
              <w:start w:val="single" w:sz="4" w:space="0" w:color="000000"/>
              <w:bottom w:val="single" w:sz="4" w:space="0" w:color="000000"/>
            </w:tcBorders>
          </w:tcPr>
          <w:p>
            <w:pPr>
              <w:pStyle w:val="TableContents"/>
              <w:rPr/>
            </w:pPr>
            <w:r>
              <w:rPr/>
              <w:t>Read(price &gt; 100), give me products price &gt; 100</w:t>
            </w:r>
          </w:p>
        </w:tc>
        <w:tc>
          <w:tcPr>
            <w:tcW w:w="4987" w:type="dxa"/>
            <w:tcBorders>
              <w:start w:val="single" w:sz="4" w:space="0" w:color="000000"/>
              <w:bottom w:val="single" w:sz="4" w:space="0" w:color="000000"/>
              <w:end w:val="single" w:sz="4" w:space="0" w:color="000000"/>
            </w:tcBorders>
          </w:tcPr>
          <w:p>
            <w:pPr>
              <w:pStyle w:val="TableContents"/>
              <w:rPr/>
            </w:pPr>
            <w:r>
              <w:rPr/>
            </w:r>
          </w:p>
        </w:tc>
      </w:tr>
      <w:tr>
        <w:trPr/>
        <w:tc>
          <w:tcPr>
            <w:tcW w:w="4985" w:type="dxa"/>
            <w:tcBorders>
              <w:start w:val="single" w:sz="4" w:space="0" w:color="000000"/>
              <w:bottom w:val="single" w:sz="4" w:space="0" w:color="000000"/>
            </w:tcBorders>
          </w:tcPr>
          <w:p>
            <w:pPr>
              <w:pStyle w:val="TableContents"/>
              <w:rPr/>
            </w:pPr>
            <w:r>
              <w:rPr/>
            </w:r>
          </w:p>
        </w:tc>
        <w:tc>
          <w:tcPr>
            <w:tcW w:w="4987" w:type="dxa"/>
            <w:tcBorders>
              <w:start w:val="single" w:sz="4" w:space="0" w:color="000000"/>
              <w:bottom w:val="single" w:sz="4" w:space="0" w:color="000000"/>
              <w:end w:val="single" w:sz="4" w:space="0" w:color="000000"/>
            </w:tcBorders>
          </w:tcPr>
          <w:p>
            <w:pPr>
              <w:pStyle w:val="TableContents"/>
              <w:rPr/>
            </w:pPr>
            <w:r>
              <w:rPr/>
              <w:t>Write(NewProduct =&gt; 200). add new product</w:t>
            </w:r>
          </w:p>
        </w:tc>
      </w:tr>
      <w:tr>
        <w:trPr/>
        <w:tc>
          <w:tcPr>
            <w:tcW w:w="4985" w:type="dxa"/>
            <w:tcBorders>
              <w:start w:val="single" w:sz="4" w:space="0" w:color="000000"/>
              <w:bottom w:val="single" w:sz="4" w:space="0" w:color="000000"/>
            </w:tcBorders>
          </w:tcPr>
          <w:p>
            <w:pPr>
              <w:pStyle w:val="TableContents"/>
              <w:rPr/>
            </w:pPr>
            <w:r>
              <w:rPr/>
              <w:t>Read(price &gt; 100), give me products price &gt; 100</w:t>
            </w:r>
          </w:p>
        </w:tc>
        <w:tc>
          <w:tcPr>
            <w:tcW w:w="4987" w:type="dxa"/>
            <w:tcBorders>
              <w:start w:val="single" w:sz="4" w:space="0" w:color="000000"/>
              <w:bottom w:val="single" w:sz="4" w:space="0" w:color="000000"/>
              <w:end w:val="single" w:sz="4" w:space="0" w:color="000000"/>
            </w:tcBorders>
          </w:tcPr>
          <w:p>
            <w:pPr>
              <w:pStyle w:val="TableContents"/>
              <w:rPr/>
            </w:pPr>
            <w:r>
              <w:rPr/>
            </w:r>
          </w:p>
        </w:tc>
      </w:tr>
    </w:tbl>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When Transaction T1 Re-reads within the same transaction: give me products with price &gt; 100 then it gives a different response. Adding a new row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 </w:t>
      </w:r>
      <w:r>
        <w:rPr>
          <w:b w:val="false"/>
          <w:bCs w:val="false"/>
        </w:rPr>
        <w:t>Transaction is not a single operation, it is a group of operations. It could be multiple queries also</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According to the issues, we will apply our Isolation level. </w:t>
      </w:r>
    </w:p>
    <w:p>
      <w:pPr>
        <w:pStyle w:val="Normal"/>
        <w:bidi w:val="0"/>
        <w:jc w:val="start"/>
        <w:rPr>
          <w:b w:val="false"/>
          <w:bCs w:val="false"/>
        </w:rPr>
      </w:pPr>
      <w:r>
        <w:rPr>
          <w:b w:val="false"/>
          <w:bCs w:val="false"/>
        </w:rPr>
      </w:r>
    </w:p>
    <w:p>
      <w:pPr>
        <w:pStyle w:val="Normal"/>
        <w:bidi w:val="0"/>
        <w:jc w:val="start"/>
        <w:rPr>
          <w:u w:val="single"/>
        </w:rPr>
      </w:pPr>
      <w:r>
        <w:rPr>
          <w:b w:val="false"/>
          <w:bCs w:val="false"/>
          <w:u w:val="single"/>
        </w:rPr>
        <w:t>Isolation levels:</w:t>
      </w:r>
    </w:p>
    <w:p>
      <w:pPr>
        <w:pStyle w:val="Normal"/>
        <w:bidi w:val="0"/>
        <w:jc w:val="start"/>
        <w:rPr>
          <w:b w:val="false"/>
          <w:bCs w:val="false"/>
        </w:rPr>
      </w:pPr>
      <w:r>
        <w:rPr>
          <w:b w:val="false"/>
          <w:bCs w:val="false"/>
        </w:rPr>
        <w:t>1. Read uncommitted changes – we want the Read operation to read the uncommitted changes as well.</w:t>
      </w:r>
    </w:p>
    <w:p>
      <w:pPr>
        <w:pStyle w:val="Normal"/>
        <w:bidi w:val="0"/>
        <w:jc w:val="start"/>
        <w:rPr>
          <w:b w:val="false"/>
          <w:bCs w:val="false"/>
        </w:rPr>
      </w:pPr>
      <w:r>
        <w:rPr>
          <w:b w:val="false"/>
          <w:bCs w:val="false"/>
        </w:rPr>
        <w:t xml:space="preserve">- Allowing current transaction to read data from other ongoing transactions, which are not committed.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Problems solved: </w:t>
      </w:r>
    </w:p>
    <w:p>
      <w:pPr>
        <w:pStyle w:val="Normal"/>
        <w:bidi w:val="0"/>
        <w:jc w:val="start"/>
        <w:rPr>
          <w:b w:val="false"/>
          <w:bCs w:val="false"/>
        </w:rPr>
      </w:pPr>
      <w:r>
        <w:rPr>
          <w:b w:val="false"/>
          <w:bCs w:val="false"/>
        </w:rPr>
        <w:t>- will it solve Dirty read? Or does dirty read still exist? =&gt; Not solved we will still have Dirty read issue</w:t>
      </w:r>
    </w:p>
    <w:p>
      <w:pPr>
        <w:pStyle w:val="Normal"/>
        <w:bidi w:val="0"/>
        <w:jc w:val="start"/>
        <w:rPr>
          <w:b w:val="false"/>
          <w:bCs w:val="false"/>
        </w:rPr>
      </w:pPr>
      <w:r>
        <w:rPr>
          <w:b w:val="false"/>
          <w:bCs w:val="false"/>
        </w:rPr>
        <w:t>- Non-Repeatable reads? =&gt; Not solved</w:t>
      </w:r>
    </w:p>
    <w:p>
      <w:pPr>
        <w:pStyle w:val="Normal"/>
        <w:bidi w:val="0"/>
        <w:jc w:val="start"/>
        <w:rPr>
          <w:b w:val="false"/>
          <w:bCs w:val="false"/>
        </w:rPr>
      </w:pPr>
      <w:r>
        <w:rPr>
          <w:b w:val="false"/>
          <w:bCs w:val="false"/>
        </w:rPr>
        <w:t>- Phantom read? =&gt; Not solved</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It is implemented in MySQL. If it doesn’t solve any of our issues, what does it do? What it ensures is, it will have a better reading experience on non-critical data. For example, number of likes on a YouTube video, an approximate count is good enough. We are not interested in a too accurate count.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2. Read committed:</w:t>
      </w:r>
    </w:p>
    <w:p>
      <w:pPr>
        <w:pStyle w:val="Normal"/>
        <w:bidi w:val="0"/>
        <w:jc w:val="start"/>
        <w:rPr>
          <w:b w:val="false"/>
          <w:bCs w:val="false"/>
        </w:rPr>
      </w:pPr>
      <w:r>
        <w:rPr>
          <w:b w:val="false"/>
          <w:bCs w:val="false"/>
        </w:rPr>
        <w:t>- Only Read values when other transaction is committed or rolledback. We will read only committed values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Problems solved:</w:t>
      </w:r>
    </w:p>
    <w:p>
      <w:pPr>
        <w:pStyle w:val="Normal"/>
        <w:bidi w:val="0"/>
        <w:jc w:val="start"/>
        <w:rPr>
          <w:b w:val="false"/>
          <w:bCs w:val="false"/>
        </w:rPr>
      </w:pPr>
      <w:r>
        <w:rPr>
          <w:b w:val="false"/>
          <w:bCs w:val="false"/>
        </w:rPr>
        <w:t>- Dirty read: Yes solved, we are not reading from any uncommitted transactions</w:t>
      </w:r>
    </w:p>
    <w:p>
      <w:pPr>
        <w:pStyle w:val="Normal"/>
        <w:bidi w:val="0"/>
        <w:jc w:val="start"/>
        <w:rPr>
          <w:b w:val="false"/>
          <w:bCs w:val="false"/>
        </w:rPr>
      </w:pPr>
      <w:r>
        <w:rPr>
          <w:b w:val="false"/>
          <w:bCs w:val="false"/>
        </w:rPr>
        <w:t>- Non-Repeatable read: Not solved</w:t>
      </w:r>
    </w:p>
    <w:p>
      <w:pPr>
        <w:pStyle w:val="Normal"/>
        <w:bidi w:val="0"/>
        <w:jc w:val="start"/>
        <w:rPr>
          <w:b w:val="false"/>
          <w:bCs w:val="false"/>
        </w:rPr>
      </w:pPr>
      <w:r>
        <w:rPr>
          <w:b w:val="false"/>
          <w:bCs w:val="false"/>
        </w:rPr>
        <w:t>- PhatomRead: Not solved</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3. Repeatable Read Isolation Level:</w:t>
      </w:r>
    </w:p>
    <w:p>
      <w:pPr>
        <w:pStyle w:val="Normal"/>
        <w:bidi w:val="0"/>
        <w:jc w:val="start"/>
        <w:rPr>
          <w:b w:val="false"/>
          <w:bCs w:val="false"/>
        </w:rPr>
      </w:pPr>
      <w:r>
        <w:rPr>
          <w:b w:val="false"/>
          <w:bCs w:val="false"/>
        </w:rPr>
        <w:t>If we are performing a Read operation on a particular row and even if that row’s value gets changed by any other transactions, we will not read that.</w:t>
      </w:r>
    </w:p>
    <w:p>
      <w:pPr>
        <w:pStyle w:val="Normal"/>
        <w:bidi w:val="0"/>
        <w:jc w:val="start"/>
        <w:rPr>
          <w:b w:val="false"/>
          <w:bCs w:val="false"/>
        </w:rPr>
      </w:pPr>
      <w:r>
        <w:rPr>
          <w:b w:val="false"/>
          <w:bCs w:val="false"/>
        </w:rPr>
        <w:t xml:space="preserve">- if a transaction is reading a row, it will basically not see any updates on that row during the transaction.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tbl>
      <w:tblPr>
        <w:tblW w:w="5000" w:type="pct"/>
        <w:jc w:val="start"/>
        <w:tblInd w:w="-5" w:type="dxa"/>
        <w:tblLayout w:type="fixed"/>
        <w:tblCellMar>
          <w:top w:w="55" w:type="dxa"/>
          <w:start w:w="55" w:type="dxa"/>
          <w:bottom w:w="55" w:type="dxa"/>
          <w:end w:w="55" w:type="dxa"/>
        </w:tblCellMar>
      </w:tblPr>
      <w:tblGrid>
        <w:gridCol w:w="1994"/>
        <w:gridCol w:w="1994"/>
        <w:gridCol w:w="1995"/>
        <w:gridCol w:w="1994"/>
        <w:gridCol w:w="1995"/>
      </w:tblGrid>
      <w:tr>
        <w:trPr/>
        <w:tc>
          <w:tcPr>
            <w:tcW w:w="1994" w:type="dxa"/>
            <w:tcBorders>
              <w:top w:val="single" w:sz="4" w:space="0" w:color="000000"/>
              <w:start w:val="single" w:sz="4" w:space="0" w:color="000000"/>
              <w:bottom w:val="single" w:sz="4" w:space="0" w:color="000000"/>
            </w:tcBorders>
          </w:tcPr>
          <w:p>
            <w:pPr>
              <w:pStyle w:val="TableContents"/>
              <w:rPr/>
            </w:pPr>
            <w:r>
              <w:rPr/>
              <w:t>Transaction T1</w:t>
            </w:r>
          </w:p>
        </w:tc>
        <w:tc>
          <w:tcPr>
            <w:tcW w:w="1994" w:type="dxa"/>
            <w:tcBorders>
              <w:top w:val="single" w:sz="4" w:space="0" w:color="000000"/>
              <w:start w:val="single" w:sz="4" w:space="0" w:color="000000"/>
              <w:bottom w:val="single" w:sz="4" w:space="0" w:color="000000"/>
            </w:tcBorders>
          </w:tcPr>
          <w:p>
            <w:pPr>
              <w:pStyle w:val="TableContents"/>
              <w:rPr/>
            </w:pPr>
            <w:r>
              <w:rPr/>
              <w:t>ID</w:t>
            </w:r>
          </w:p>
        </w:tc>
        <w:tc>
          <w:tcPr>
            <w:tcW w:w="1995" w:type="dxa"/>
            <w:tcBorders>
              <w:top w:val="single" w:sz="4" w:space="0" w:color="000000"/>
              <w:start w:val="single" w:sz="4" w:space="0" w:color="000000"/>
              <w:bottom w:val="single" w:sz="4" w:space="0" w:color="000000"/>
            </w:tcBorders>
          </w:tcPr>
          <w:p>
            <w:pPr>
              <w:pStyle w:val="TableContents"/>
              <w:rPr/>
            </w:pPr>
            <w:r>
              <w:rPr/>
              <w:t>Name</w:t>
            </w:r>
          </w:p>
        </w:tc>
        <w:tc>
          <w:tcPr>
            <w:tcW w:w="1994" w:type="dxa"/>
            <w:tcBorders>
              <w:top w:val="single" w:sz="4" w:space="0" w:color="000000"/>
              <w:start w:val="single" w:sz="4" w:space="0" w:color="000000"/>
              <w:bottom w:val="single" w:sz="4" w:space="0" w:color="000000"/>
            </w:tcBorders>
          </w:tcPr>
          <w:p>
            <w:pPr>
              <w:pStyle w:val="TableContents"/>
              <w:rPr/>
            </w:pPr>
            <w:r>
              <w:rPr/>
              <w:t>Value</w:t>
            </w:r>
          </w:p>
        </w:tc>
        <w:tc>
          <w:tcPr>
            <w:tcW w:w="1995" w:type="dxa"/>
            <w:tcBorders>
              <w:top w:val="single" w:sz="4" w:space="0" w:color="000000"/>
              <w:start w:val="single" w:sz="4" w:space="0" w:color="000000"/>
              <w:bottom w:val="single" w:sz="4" w:space="0" w:color="000000"/>
              <w:end w:val="single" w:sz="4" w:space="0" w:color="000000"/>
            </w:tcBorders>
          </w:tcPr>
          <w:p>
            <w:pPr>
              <w:pStyle w:val="TableContents"/>
              <w:rPr/>
            </w:pPr>
            <w:r>
              <w:rPr/>
              <w:t>Transaction T2</w:t>
            </w:r>
          </w:p>
        </w:tc>
      </w:tr>
      <w:tr>
        <w:trPr/>
        <w:tc>
          <w:tcPr>
            <w:tcW w:w="1994" w:type="dxa"/>
            <w:tcBorders>
              <w:start w:val="single" w:sz="4" w:space="0" w:color="000000"/>
              <w:bottom w:val="single" w:sz="4" w:space="0" w:color="000000"/>
            </w:tcBorders>
          </w:tcPr>
          <w:p>
            <w:pPr>
              <w:pStyle w:val="TableContents"/>
              <w:rPr/>
            </w:pPr>
            <w:r>
              <w:rPr/>
              <w:t>Read this row</w:t>
            </w:r>
          </w:p>
        </w:tc>
        <w:tc>
          <w:tcPr>
            <w:tcW w:w="1994" w:type="dxa"/>
            <w:tcBorders>
              <w:start w:val="single" w:sz="4" w:space="0" w:color="000000"/>
              <w:bottom w:val="single" w:sz="4" w:space="0" w:color="000000"/>
            </w:tcBorders>
          </w:tcPr>
          <w:p>
            <w:pPr>
              <w:pStyle w:val="TableContents"/>
              <w:rPr/>
            </w:pPr>
            <w:r>
              <w:rPr/>
              <w:t>1</w:t>
            </w:r>
          </w:p>
        </w:tc>
        <w:tc>
          <w:tcPr>
            <w:tcW w:w="1995" w:type="dxa"/>
            <w:tcBorders>
              <w:start w:val="single" w:sz="4" w:space="0" w:color="000000"/>
              <w:bottom w:val="single" w:sz="4" w:space="0" w:color="000000"/>
            </w:tcBorders>
          </w:tcPr>
          <w:p>
            <w:pPr>
              <w:pStyle w:val="TableContents"/>
              <w:rPr/>
            </w:pPr>
            <w:r>
              <w:rPr/>
              <w:t>ABC</w:t>
            </w:r>
          </w:p>
        </w:tc>
        <w:tc>
          <w:tcPr>
            <w:tcW w:w="1994" w:type="dxa"/>
            <w:tcBorders>
              <w:start w:val="single" w:sz="4" w:space="0" w:color="000000"/>
              <w:bottom w:val="single" w:sz="4" w:space="0" w:color="000000"/>
            </w:tcBorders>
          </w:tcPr>
          <w:p>
            <w:pPr>
              <w:pStyle w:val="TableContents"/>
              <w:rPr/>
            </w:pPr>
            <w:r>
              <w:rPr/>
              <w:t>123</w:t>
            </w:r>
          </w:p>
        </w:tc>
        <w:tc>
          <w:tcPr>
            <w:tcW w:w="1995" w:type="dxa"/>
            <w:tcBorders>
              <w:start w:val="single" w:sz="4" w:space="0" w:color="000000"/>
              <w:bottom w:val="single" w:sz="4" w:space="0" w:color="000000"/>
              <w:end w:val="single" w:sz="4" w:space="0" w:color="000000"/>
            </w:tcBorders>
          </w:tcPr>
          <w:p>
            <w:pPr>
              <w:pStyle w:val="TableContents"/>
              <w:rPr/>
            </w:pPr>
            <w:r>
              <w:rPr/>
              <w:t>Update Name to ‘BCD’</w:t>
            </w:r>
          </w:p>
        </w:tc>
      </w:tr>
      <w:tr>
        <w:trPr/>
        <w:tc>
          <w:tcPr>
            <w:tcW w:w="1994" w:type="dxa"/>
            <w:tcBorders>
              <w:start w:val="single" w:sz="4" w:space="0" w:color="000000"/>
              <w:bottom w:val="single" w:sz="4" w:space="0" w:color="000000"/>
            </w:tcBorders>
          </w:tcPr>
          <w:p>
            <w:pPr>
              <w:pStyle w:val="TableContents"/>
              <w:rPr/>
            </w:pPr>
            <w:r>
              <w:rPr/>
            </w:r>
          </w:p>
        </w:tc>
        <w:tc>
          <w:tcPr>
            <w:tcW w:w="1994" w:type="dxa"/>
            <w:tcBorders>
              <w:start w:val="single" w:sz="4" w:space="0" w:color="000000"/>
              <w:bottom w:val="single" w:sz="4" w:space="0" w:color="000000"/>
            </w:tcBorders>
          </w:tcPr>
          <w:p>
            <w:pPr>
              <w:pStyle w:val="TableContents"/>
              <w:rPr/>
            </w:pPr>
            <w:r>
              <w:rPr/>
            </w:r>
          </w:p>
        </w:tc>
        <w:tc>
          <w:tcPr>
            <w:tcW w:w="1995" w:type="dxa"/>
            <w:tcBorders>
              <w:start w:val="single" w:sz="4" w:space="0" w:color="000000"/>
              <w:bottom w:val="single" w:sz="4" w:space="0" w:color="000000"/>
            </w:tcBorders>
          </w:tcPr>
          <w:p>
            <w:pPr>
              <w:pStyle w:val="TableContents"/>
              <w:rPr/>
            </w:pPr>
            <w:r>
              <w:rPr/>
            </w:r>
          </w:p>
        </w:tc>
        <w:tc>
          <w:tcPr>
            <w:tcW w:w="1994" w:type="dxa"/>
            <w:tcBorders>
              <w:start w:val="single" w:sz="4" w:space="0" w:color="000000"/>
              <w:bottom w:val="single" w:sz="4" w:space="0" w:color="000000"/>
            </w:tcBorders>
          </w:tcPr>
          <w:p>
            <w:pPr>
              <w:pStyle w:val="TableContents"/>
              <w:rPr/>
            </w:pPr>
            <w:r>
              <w:rPr/>
            </w:r>
          </w:p>
        </w:tc>
        <w:tc>
          <w:tcPr>
            <w:tcW w:w="1995" w:type="dxa"/>
            <w:tcBorders>
              <w:start w:val="single" w:sz="4" w:space="0" w:color="000000"/>
              <w:bottom w:val="single" w:sz="4" w:space="0" w:color="000000"/>
              <w:end w:val="single" w:sz="4" w:space="0" w:color="000000"/>
            </w:tcBorders>
          </w:tcPr>
          <w:p>
            <w:pPr>
              <w:pStyle w:val="TableContents"/>
              <w:rPr/>
            </w:pPr>
            <w:r>
              <w:rPr/>
            </w:r>
          </w:p>
        </w:tc>
      </w:tr>
    </w:tbl>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Say Transaction T1 is reading Row 1 and even if Name value changes to BCD from ABC by Transaction T2, still T1 will read only Name as ABC not BCD. We are not stopping value update by any other transactions. What we are stopping is, stopping to see the updated values. If Transaction T1 is reading a data, it will keep the same data even if any other transactions are updating it.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Problems solved:</w:t>
      </w:r>
    </w:p>
    <w:p>
      <w:pPr>
        <w:pStyle w:val="Normal"/>
        <w:bidi w:val="0"/>
        <w:jc w:val="start"/>
        <w:rPr>
          <w:b w:val="false"/>
          <w:bCs w:val="false"/>
        </w:rPr>
      </w:pPr>
      <w:r>
        <w:rPr>
          <w:b w:val="false"/>
          <w:bCs w:val="false"/>
        </w:rPr>
        <w:t>- Dirty read: Yes solved</w:t>
      </w:r>
    </w:p>
    <w:p>
      <w:pPr>
        <w:pStyle w:val="Normal"/>
        <w:bidi w:val="0"/>
        <w:jc w:val="start"/>
        <w:rPr>
          <w:b w:val="false"/>
          <w:bCs w:val="false"/>
        </w:rPr>
      </w:pPr>
      <w:r>
        <w:rPr>
          <w:b w:val="false"/>
          <w:bCs w:val="false"/>
        </w:rPr>
        <w:t>- NonRepeatable read: Yes (even if we update the data, T1 will still see the old data only)</w:t>
      </w:r>
    </w:p>
    <w:p>
      <w:pPr>
        <w:pStyle w:val="Normal"/>
        <w:bidi w:val="0"/>
        <w:jc w:val="start"/>
        <w:rPr>
          <w:b w:val="false"/>
          <w:bCs w:val="false"/>
        </w:rPr>
      </w:pPr>
      <w:r>
        <w:rPr>
          <w:b w:val="false"/>
          <w:bCs w:val="false"/>
        </w:rPr>
        <w:t>- Phantom read: Not solved (if new row is inserted, it will see the new row)</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However, the downside is, Transaction T1 will read stale data, which is not updated. That means, we will encounter a new problem that’s Read skew (Reading unupdated data)</w:t>
      </w:r>
    </w:p>
    <w:p>
      <w:pPr>
        <w:pStyle w:val="Normal"/>
        <w:bidi w:val="0"/>
        <w:jc w:val="start"/>
        <w:rPr>
          <w:b w:val="false"/>
          <w:bCs w:val="false"/>
        </w:rPr>
      </w:pPr>
      <w:r>
        <w:rPr>
          <w:b w:val="false"/>
          <w:bCs w:val="false"/>
        </w:rPr>
        <w:t xml:space="preserve">Postgres uses this Isolation. Postgres suggests that it is almost perfect (correct enough). It is giving responsibility to the Developers. Relying on Developers for atomic updates. We cant still use it for Banking application.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4. Serializable Isolation Level:</w:t>
      </w:r>
    </w:p>
    <w:p>
      <w:pPr>
        <w:pStyle w:val="Normal"/>
        <w:bidi w:val="0"/>
        <w:jc w:val="start"/>
        <w:rPr>
          <w:b w:val="false"/>
          <w:bCs w:val="false"/>
        </w:rPr>
      </w:pPr>
      <w:r>
        <w:rPr>
          <w:b w:val="false"/>
          <w:bCs w:val="false"/>
        </w:rPr>
        <w:t>- strongest isolation level</w:t>
      </w:r>
    </w:p>
    <w:p>
      <w:pPr>
        <w:pStyle w:val="Normal"/>
        <w:bidi w:val="0"/>
        <w:jc w:val="start"/>
        <w:rPr>
          <w:b w:val="false"/>
          <w:bCs w:val="false"/>
        </w:rPr>
      </w:pPr>
      <w:r>
        <w:rPr>
          <w:b w:val="false"/>
          <w:bCs w:val="false"/>
        </w:rPr>
        <w:t>- provides complete isolation</w:t>
      </w:r>
    </w:p>
    <w:p>
      <w:pPr>
        <w:pStyle w:val="Normal"/>
        <w:bidi w:val="0"/>
        <w:jc w:val="start"/>
        <w:rPr>
          <w:b w:val="false"/>
          <w:bCs w:val="false"/>
        </w:rPr>
      </w:pPr>
      <w:r>
        <w:rPr>
          <w:b w:val="false"/>
          <w:bCs w:val="false"/>
        </w:rPr>
        <w:t>- it will consider every transaction in sequence</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Problems solved:</w:t>
      </w:r>
    </w:p>
    <w:p>
      <w:pPr>
        <w:pStyle w:val="Normal"/>
        <w:bidi w:val="0"/>
        <w:jc w:val="start"/>
        <w:rPr>
          <w:b w:val="false"/>
          <w:bCs w:val="false"/>
        </w:rPr>
      </w:pPr>
      <w:r>
        <w:rPr>
          <w:b w:val="false"/>
          <w:bCs w:val="false"/>
        </w:rPr>
        <w:t>- Dirty read: Yes solved</w:t>
      </w:r>
    </w:p>
    <w:p>
      <w:pPr>
        <w:pStyle w:val="Normal"/>
        <w:bidi w:val="0"/>
        <w:jc w:val="start"/>
        <w:rPr>
          <w:b w:val="false"/>
          <w:bCs w:val="false"/>
        </w:rPr>
      </w:pPr>
      <w:r>
        <w:rPr>
          <w:b w:val="false"/>
          <w:bCs w:val="false"/>
        </w:rPr>
        <w:t>- NonRepeatable read: Yes solved</w:t>
      </w:r>
    </w:p>
    <w:p>
      <w:pPr>
        <w:pStyle w:val="Normal"/>
        <w:bidi w:val="0"/>
        <w:jc w:val="start"/>
        <w:rPr>
          <w:b w:val="false"/>
          <w:bCs w:val="false"/>
        </w:rPr>
      </w:pPr>
      <w:r>
        <w:rPr>
          <w:b w:val="false"/>
          <w:bCs w:val="false"/>
        </w:rPr>
        <w:t>- Phantom read: Yes solved</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Pros:</w:t>
      </w:r>
    </w:p>
    <w:p>
      <w:pPr>
        <w:pStyle w:val="Normal"/>
        <w:bidi w:val="0"/>
        <w:jc w:val="start"/>
        <w:rPr>
          <w:b w:val="false"/>
          <w:bCs w:val="false"/>
        </w:rPr>
      </w:pPr>
      <w:r>
        <w:rPr>
          <w:b w:val="false"/>
          <w:bCs w:val="false"/>
        </w:rPr>
        <w:tab/>
        <w:t>- Consistency</w:t>
      </w:r>
    </w:p>
    <w:p>
      <w:pPr>
        <w:pStyle w:val="Normal"/>
        <w:bidi w:val="0"/>
        <w:jc w:val="start"/>
        <w:rPr>
          <w:b w:val="false"/>
          <w:bCs w:val="false"/>
        </w:rPr>
      </w:pPr>
      <w:r>
        <w:rPr>
          <w:b w:val="false"/>
          <w:bCs w:val="false"/>
        </w:rPr>
        <w:t>Cons:</w:t>
      </w:r>
    </w:p>
    <w:p>
      <w:pPr>
        <w:pStyle w:val="Normal"/>
        <w:bidi w:val="0"/>
        <w:jc w:val="start"/>
        <w:rPr>
          <w:b w:val="false"/>
          <w:bCs w:val="false"/>
        </w:rPr>
      </w:pPr>
      <w:r>
        <w:rPr>
          <w:b w:val="false"/>
          <w:bCs w:val="false"/>
        </w:rPr>
        <w:tab/>
        <w:t>- Blocking</w:t>
      </w:r>
    </w:p>
    <w:p>
      <w:pPr>
        <w:pStyle w:val="Normal"/>
        <w:bidi w:val="0"/>
        <w:jc w:val="start"/>
        <w:rPr>
          <w:b w:val="false"/>
          <w:bCs w:val="false"/>
        </w:rPr>
      </w:pPr>
      <w:r>
        <w:rPr>
          <w:b w:val="false"/>
          <w:bCs w:val="false"/>
        </w:rPr>
        <w:tab/>
        <w:t>- Deadlock</w:t>
      </w:r>
    </w:p>
    <w:p>
      <w:pPr>
        <w:pStyle w:val="Normal"/>
        <w:bidi w:val="0"/>
        <w:jc w:val="start"/>
        <w:rPr>
          <w:b w:val="false"/>
          <w:bCs w:val="false"/>
        </w:rPr>
      </w:pPr>
      <w:r>
        <w:rPr>
          <w:b w:val="false"/>
          <w:bCs w:val="false"/>
        </w:rPr>
        <w:tab/>
        <w:t>- Lower throughput</w:t>
      </w:r>
    </w:p>
    <w:p>
      <w:pPr>
        <w:pStyle w:val="Normal"/>
        <w:bidi w:val="0"/>
        <w:jc w:val="start"/>
        <w:rPr>
          <w:b w:val="false"/>
          <w:bCs w:val="false"/>
        </w:rPr>
      </w:pPr>
      <w:r>
        <w:rPr>
          <w:b w:val="false"/>
          <w:bCs w:val="false"/>
        </w:rPr>
        <w:t>Only this is the strong isolation level, all others are weak isolation levels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Different application scenarios:</w:t>
      </w:r>
    </w:p>
    <w:p>
      <w:pPr>
        <w:pStyle w:val="Normal"/>
        <w:bidi w:val="0"/>
        <w:jc w:val="start"/>
        <w:rPr>
          <w:b w:val="false"/>
          <w:bCs w:val="false"/>
        </w:rPr>
      </w:pPr>
      <w:r>
        <w:rPr>
          <w:b w:val="false"/>
          <w:bCs w:val="false"/>
        </w:rPr>
        <w:t>MoneyTransfer →  Serializable Isolation Level</w:t>
      </w:r>
    </w:p>
    <w:p>
      <w:pPr>
        <w:pStyle w:val="Normal"/>
        <w:bidi w:val="0"/>
        <w:jc w:val="start"/>
        <w:rPr>
          <w:b w:val="false"/>
          <w:bCs w:val="false"/>
        </w:rPr>
      </w:pPr>
      <w:r>
        <w:rPr>
          <w:b w:val="false"/>
          <w:bCs w:val="false"/>
        </w:rPr>
        <w:t>InventoryManagement → Serializable Isolation Level</w:t>
      </w:r>
    </w:p>
    <w:p>
      <w:pPr>
        <w:pStyle w:val="Normal"/>
        <w:bidi w:val="0"/>
        <w:jc w:val="start"/>
        <w:rPr>
          <w:b w:val="false"/>
          <w:bCs w:val="false"/>
        </w:rPr>
      </w:pPr>
      <w:r>
        <w:rPr>
          <w:b w:val="false"/>
          <w:bCs w:val="false"/>
        </w:rPr>
        <w:t>BookingApplication → Serializable Isolation Level (otherwise we will book same seats for different people)</w:t>
      </w:r>
    </w:p>
    <w:p>
      <w:pPr>
        <w:pStyle w:val="Normal"/>
        <w:bidi w:val="0"/>
        <w:jc w:val="start"/>
        <w:rPr>
          <w:b w:val="false"/>
          <w:bCs w:val="false"/>
        </w:rPr>
      </w:pPr>
      <w:r>
        <w:rPr>
          <w:b w:val="false"/>
          <w:bCs w:val="false"/>
        </w:rPr>
        <w:t xml:space="preserve">Dashboards → Read committed (We don’t want Write operations to slowdown like Serializable) </w:t>
      </w:r>
    </w:p>
    <w:p>
      <w:pPr>
        <w:pStyle w:val="Normal"/>
        <w:bidi w:val="0"/>
        <w:jc w:val="start"/>
        <w:rPr>
          <w:b w:val="false"/>
          <w:bCs w:val="false"/>
        </w:rPr>
      </w:pPr>
      <w:r>
        <w:rPr>
          <w:b w:val="false"/>
          <w:bCs w:val="false"/>
        </w:rPr>
        <w:t>SocialFeeds → Low isolation level</w:t>
      </w:r>
    </w:p>
    <w:p>
      <w:pPr>
        <w:pStyle w:val="Normal"/>
        <w:bidi w:val="0"/>
        <w:jc w:val="start"/>
        <w:rPr>
          <w:b w:val="false"/>
          <w:bCs w:val="false"/>
        </w:rPr>
      </w:pPr>
      <w:r>
        <w:rPr>
          <w:b w:val="false"/>
          <w:bCs w:val="false"/>
        </w:rPr>
        <w:t>Analytics → Low isolation level (We don’t want Write operations to slowdown as in Serializable)</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MySQL uses Read Uncommitted Level. MySQL is a server, as a server, it is allowing Read uncommitted. With MySQL, it comes with an engine, InnoDB ensures that no transactions can read from uncommitted data changes. When we have a combination like this, then only we are able to use MySQL for our Banking applications. Read Uncommitted is the default setting for most applications. MySQL is the server and InnoDB is the storage engine. Storage engine makes sure that no read operations will be performed through uncommitted change. Even if MySQL server allows reading uncommitted changes, underlying InnoDB makes sure it doesn’t happen.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167</TotalTime>
  <Application>LibreOffice/25.8.3.2$Windows_X86_64 LibreOffice_project/8ca8d55c161d602844f5428fa4b58097424e324e</Application>
  <AppVersion>15.0000</AppVersion>
  <Pages>3</Pages>
  <Words>915</Words>
  <Characters>4650</Characters>
  <CharactersWithSpaces>5493</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2025-12-15T20:22:11Z</dcterms:created>
  <dc:creator/>
  <dc:description/>
  <dc:language>en-US</dc:language>
  <cp:lastModifiedBy/>
  <dcterms:modified xsi:type="dcterms:W3CDTF">2025-12-19T11:26:27Z</dcterms:modified>
  <cp:revision>156</cp:revision>
  <dc:subject/>
  <dc:title/>
</cp:coreProperties>
</file>

<file path=docProps/custom.xml><?xml version="1.0" encoding="utf-8"?>
<Properties xmlns="http://schemas.openxmlformats.org/officeDocument/2006/custom-properties" xmlns:vt="http://schemas.openxmlformats.org/officeDocument/2006/docPropsVTypes"/>
</file>