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120" w:type="dxa"/>
        <w:tblBorders>
          <w:top w:val="single" w:sz="0" w:color="081120"/>
          <w:left w:val="single" w:sz="0" w:color="081120"/>
          <w:bottom w:val="single" w:sz="0" w:color="081120"/>
          <w:right w:val="single" w:sz="0" w:color="081120"/>
          <w:insideH w:val="single" w:sz="0" w:color="081120"/>
          <w:insideV w:val="single" w:sz="0" w:color="081120"/>
        </w:tblBorders>
      </w:tblPr>
      <w:tblGrid>
        <w:gridCol w:w="9360"/>
      </w:tblGrid>
      <w:tr>
        <w:tc>
          <w:tcPr>
            <w:tcW w:type="dxa" w:w="9360"/>
            <w:tcMar>
              <w:top w:w="520" w:type="dxa"/>
              <w:start w:w="520" w:type="dxa"/>
              <w:bottom w:w="520" w:type="dxa"/>
              <w:end w:w="520" w:type="dxa"/>
            </w:tcMar>
            <w:shd w:fill="081120"/>
          </w:tcPr>
          <w:p>
            <w:pPr>
              <w:spacing w:after="480"/>
            </w:pPr>
            <w:r>
              <w:rPr>
                <w:rFonts w:ascii="Aptos" w:hAnsi="Aptos"/>
                <w:b/>
                <w:color w:val="8BD9E8"/>
                <w:sz w:val="18"/>
              </w:rPr>
              <w:t>NIGHT SIGNALS / 2026</w:t>
            </w:r>
          </w:p>
          <w:p>
            <w:pPr>
              <w:spacing w:after="240"/>
            </w:pPr>
            <w:r>
              <w:rPr>
                <w:rFonts w:ascii="Aptos Display" w:hAnsi="Aptos Display"/>
                <w:b/>
                <w:color w:val="FFFFFF"/>
                <w:sz w:val="62"/>
              </w:rPr>
              <w:t>Sleep, Doomscrolling</w:t>
              <w:br/>
              <w:t>and the Night</w:t>
            </w:r>
          </w:p>
          <w:p>
            <w:pPr>
              <w:spacing w:after="600"/>
            </w:pPr>
            <w:r>
              <w:rPr>
                <w:rFonts w:ascii="Aptos" w:hAnsi="Aptos"/>
                <w:color w:val="C9D8EF"/>
                <w:sz w:val="26"/>
              </w:rPr>
              <w:t>How late-night scrolling, negative news, and protective routines relate to sleep quality across 1,000 respondents</w:t>
            </w:r>
          </w:p>
          <w:p>
            <w:r>
              <w:rPr>
                <w:rFonts w:ascii="Aptos" w:hAnsi="Aptos"/>
                <w:b/>
                <w:color w:val="8BD9E8"/>
                <w:sz w:val="17"/>
              </w:rPr>
              <w:t>DATA ANALYSIS REPORT</w:t>
            </w:r>
            <w:r>
              <w:rPr>
                <w:rFonts w:ascii="Aptos" w:hAnsi="Aptos"/>
                <w:color w:val="AFC1DE"/>
                <w:sz w:val="17"/>
              </w:rPr>
              <w:t xml:space="preserve">   •   29 analytic variables   •   11 report figures</w:t>
            </w:r>
          </w:p>
        </w:tc>
      </w:tr>
    </w:tbl>
    <w:p>
      <w:pPr>
        <w:spacing w:after="480"/>
      </w:pPr>
    </w:p>
    <w:tbl>
      <w:tblPr>
        <w:tblW w:type="dxa" w:w="9360"/>
        <w:jc w:val="left"/>
        <w:tblLayout w:type="fixed"/>
        <w:tblLook w:firstColumn="1" w:firstRow="1" w:lastColumn="0" w:lastRow="0" w:noHBand="0" w:noVBand="1" w:val="04A0"/>
        <w:tblInd w:w="120" w:type="dxa"/>
        <w:tblBorders>
          <w:top w:val="single" w:sz="0" w:color="335C9F"/>
          <w:left w:val="single" w:sz="0" w:color="335C9F"/>
          <w:bottom w:val="single" w:sz="0" w:color="335C9F"/>
          <w:right w:val="single" w:sz="0" w:color="335C9F"/>
          <w:insideH w:val="single" w:sz="0" w:color="335C9F"/>
          <w:insideV w:val="single" w:sz="0" w:color="335C9F"/>
        </w:tblBorders>
      </w:tblPr>
      <w:tblGrid>
        <w:gridCol w:w="3120"/>
        <w:gridCol w:w="3120"/>
        <w:gridCol w:w="3120"/>
      </w:tblGrid>
      <w:tr>
        <w:tc>
          <w:tcPr>
            <w:tcW w:type="dxa" w:w="3120"/>
            <w:tcMar>
              <w:top w:w="110" w:type="dxa"/>
              <w:start w:w="150" w:type="dxa"/>
              <w:bottom w:w="110" w:type="dxa"/>
              <w:end w:w="150" w:type="dxa"/>
            </w:tcMar>
            <w:shd w:fill="335C9F"/>
            <w:vAlign w:val="center"/>
          </w:tcPr>
          <w:p>
            <w:pPr>
              <w:spacing w:after="40"/>
              <w:jc w:val="center"/>
            </w:pPr>
            <w:r>
              <w:rPr>
                <w:rFonts w:ascii="Aptos Display" w:hAnsi="Aptos Display"/>
                <w:b/>
                <w:color w:val="FFFFFF"/>
                <w:sz w:val="38"/>
              </w:rPr>
              <w:t>47.6%</w:t>
            </w:r>
          </w:p>
          <w:p>
            <w:pPr>
              <w:spacing w:after="0"/>
              <w:jc w:val="center"/>
            </w:pPr>
            <w:r>
              <w:rPr>
                <w:rFonts w:ascii="Aptos" w:hAnsi="Aptos"/>
                <w:b/>
                <w:color w:val="B9CAE5"/>
                <w:sz w:val="15"/>
              </w:rPr>
              <w:t>DOOMSCROLLERS</w:t>
            </w:r>
          </w:p>
        </w:tc>
        <w:tc>
          <w:tcPr>
            <w:tcW w:type="dxa" w:w="3120"/>
            <w:tcMar>
              <w:top w:w="110" w:type="dxa"/>
              <w:start w:w="150" w:type="dxa"/>
              <w:bottom w:w="110" w:type="dxa"/>
              <w:end w:w="150" w:type="dxa"/>
            </w:tcMar>
            <w:shd w:fill="335C9F"/>
            <w:vAlign w:val="center"/>
          </w:tcPr>
          <w:p>
            <w:pPr>
              <w:spacing w:after="40"/>
              <w:jc w:val="center"/>
            </w:pPr>
            <w:r>
              <w:rPr>
                <w:rFonts w:ascii="Aptos Display" w:hAnsi="Aptos Display"/>
                <w:b/>
                <w:color w:val="FFFFFF"/>
                <w:sz w:val="38"/>
              </w:rPr>
              <w:t>+10.6 min</w:t>
            </w:r>
          </w:p>
          <w:p>
            <w:pPr>
              <w:spacing w:after="0"/>
              <w:jc w:val="center"/>
            </w:pPr>
            <w:r>
              <w:rPr>
                <w:rFonts w:ascii="Aptos" w:hAnsi="Aptos"/>
                <w:b/>
                <w:color w:val="B9CAE5"/>
                <w:sz w:val="15"/>
              </w:rPr>
              <w:t>LATENCY GAP</w:t>
            </w:r>
          </w:p>
        </w:tc>
        <w:tc>
          <w:tcPr>
            <w:tcW w:type="dxa" w:w="3120"/>
            <w:tcMar>
              <w:top w:w="110" w:type="dxa"/>
              <w:start w:w="150" w:type="dxa"/>
              <w:bottom w:w="110" w:type="dxa"/>
              <w:end w:w="150" w:type="dxa"/>
            </w:tcMar>
            <w:shd w:fill="335C9F"/>
            <w:vAlign w:val="center"/>
          </w:tcPr>
          <w:p>
            <w:pPr>
              <w:spacing w:after="40"/>
              <w:jc w:val="center"/>
            </w:pPr>
            <w:r>
              <w:rPr>
                <w:rFonts w:ascii="Aptos Display" w:hAnsi="Aptos Display"/>
                <w:b/>
                <w:color w:val="FFFFFF"/>
                <w:sz w:val="38"/>
              </w:rPr>
              <w:t>11 / 204</w:t>
            </w:r>
          </w:p>
          <w:p>
            <w:pPr>
              <w:spacing w:after="0"/>
              <w:jc w:val="center"/>
            </w:pPr>
            <w:r>
              <w:rPr>
                <w:rFonts w:ascii="Aptos" w:hAnsi="Aptos"/>
                <w:b/>
                <w:color w:val="B9CAE5"/>
                <w:sz w:val="15"/>
              </w:rPr>
              <w:t>HEAVY-SCROLLER EXCEPTIONS</w:t>
            </w:r>
          </w:p>
        </w:tc>
      </w:tr>
    </w:tbl>
    <w:p>
      <w:pPr>
        <w:spacing w:after="20"/>
      </w:pPr>
    </w:p>
    <w:p>
      <w:pPr>
        <w:jc w:val="center"/>
      </w:pPr>
      <w:r>
        <w:rPr>
          <w:rFonts w:ascii="Aptos" w:hAnsi="Aptos"/>
          <w:i/>
          <w:color w:val="586A86"/>
          <w:sz w:val="17"/>
        </w:rPr>
        <w:t>Prepared from sleep_doomscrolling_habits.csv  |  Observational synthetic-data analysis</w:t>
      </w:r>
    </w:p>
    <w:p>
      <w:r>
        <w:br w:type="page"/>
      </w:r>
    </w:p>
    <w:tbl>
      <w:tblPr>
        <w:tblW w:type="dxa" w:w="9360"/>
        <w:jc w:val="left"/>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tcMar>
              <w:top w:w="110" w:type="dxa"/>
              <w:start w:w="150" w:type="dxa"/>
              <w:bottom w:w="110" w:type="dxa"/>
              <w:end w:w="150" w:type="dxa"/>
            </w:tcMar>
            <w:shd w:fill="335C9F"/>
            <w:vAlign w:val="center"/>
          </w:tcPr>
          <w:p>
            <w:pPr>
              <w:jc w:val="center"/>
            </w:pPr>
            <w:r>
              <w:rPr>
                <w:rFonts w:ascii="Segoe UI Symbol" w:hAnsi="Segoe UI Symbol"/>
                <w:b/>
                <w:color w:val="FFFFFF"/>
                <w:sz w:val="34"/>
              </w:rPr>
              <w:t>☾</w:t>
            </w:r>
          </w:p>
        </w:tc>
        <w:tc>
          <w:tcPr>
            <w:tcW w:type="dxa" w:w="8710"/>
            <w:tcMar>
              <w:top w:w="110" w:type="dxa"/>
              <w:start w:w="150" w:type="dxa"/>
              <w:bottom w:w="110" w:type="dxa"/>
              <w:end w:w="150" w:type="dxa"/>
            </w:tcMar>
            <w:shd w:fill="EEF4FB"/>
          </w:tcPr>
          <w:p>
            <w:r>
              <w:rPr>
                <w:rFonts w:ascii="Aptos Display" w:hAnsi="Aptos Display"/>
                <w:b/>
                <w:color w:val="152238"/>
                <w:sz w:val="34"/>
              </w:rPr>
              <w:t>Executive summary</w:t>
            </w:r>
          </w:p>
          <w:p>
            <w:pPr>
              <w:spacing w:before="20" w:after="0"/>
            </w:pPr>
            <w:r>
              <w:rPr>
                <w:rFonts w:ascii="Aptos" w:hAnsi="Aptos"/>
                <w:color w:val="586A86"/>
                <w:sz w:val="18"/>
              </w:rPr>
              <w:t>The answer first: the strongest signal is the bedtime disruption chain</w:t>
            </w:r>
          </w:p>
        </w:tc>
      </w:tr>
    </w:tbl>
    <w:p>
      <w:pPr>
        <w:spacing w:after="20"/>
      </w:pPr>
    </w:p>
    <w:p>
      <w:pPr>
        <w:widowControl/>
      </w:pPr>
      <w:r>
        <w:rPr>
          <w:rFonts w:ascii="Aptos" w:hAnsi="Aptos"/>
          <w:color w:val="152238"/>
        </w:rPr>
        <w:t>Doomscrolling is consistently associated with a harder night in this dataset. Respondents labeled doomscrollers take longer to fall asleep, wake more often, carry more weekly sleep debt, and sleep slightly less. The clearest continuous marker is bedtime screen time, which rises alongside latency and disruption.</w:t>
      </w:r>
    </w:p>
    <w:p>
      <w:pPr>
        <w:widowControl/>
      </w:pPr>
      <w:r>
        <w:rPr>
          <w:rFonts w:ascii="Aptos" w:hAnsi="Aptos"/>
          <w:color w:val="152238"/>
        </w:rPr>
        <w:t>The relationship is not destiny. A small set of heavy scrollers still report good sleep, and they more often pair their exposure with restorative routines, longer realized sleep, and lower debt. That counter-pattern is important because it shifts the practical question from ‘Who scrolls?’ to ‘What surrounds the scrolling?’</w:t>
      </w:r>
    </w:p>
    <w:tbl>
      <w:tblPr>
        <w:tblW w:type="dxa" w:w="9360"/>
        <w:jc w:val="left"/>
        <w:tblLayout w:type="fixed"/>
        <w:tblLook w:firstColumn="1" w:firstRow="1" w:lastColumn="0" w:lastRow="0" w:noHBand="0" w:noVBand="1" w:val="04A0"/>
        <w:tblInd w:w="120" w:type="dxa"/>
        <w:tblBorders>
          <w:top w:val="single" w:sz="0" w:color="101D33"/>
          <w:left w:val="single" w:sz="0" w:color="101D33"/>
          <w:bottom w:val="single" w:sz="0" w:color="101D33"/>
          <w:right w:val="single" w:sz="0" w:color="101D33"/>
          <w:insideH w:val="single" w:sz="0" w:color="101D33"/>
          <w:insideV w:val="single" w:sz="0" w:color="101D33"/>
        </w:tblBorders>
      </w:tblPr>
      <w:tblGrid>
        <w:gridCol w:w="3120"/>
        <w:gridCol w:w="3120"/>
        <w:gridCol w:w="3120"/>
      </w:tblGrid>
      <w:tr>
        <w:tc>
          <w:tcPr>
            <w:tcW w:type="dxa" w:w="3120"/>
            <w:tcMar>
              <w:top w:w="110" w:type="dxa"/>
              <w:start w:w="150" w:type="dxa"/>
              <w:bottom w:w="110" w:type="dxa"/>
              <w:end w:w="150" w:type="dxa"/>
            </w:tcMar>
            <w:shd w:fill="101D33"/>
            <w:vAlign w:val="center"/>
          </w:tcPr>
          <w:p>
            <w:pPr>
              <w:spacing w:after="40"/>
              <w:jc w:val="center"/>
            </w:pPr>
            <w:r>
              <w:rPr>
                <w:rFonts w:ascii="Aptos Display" w:hAnsi="Aptos Display"/>
                <w:b/>
                <w:color w:val="FFFFFF"/>
                <w:sz w:val="38"/>
              </w:rPr>
              <w:t>10.6 min</w:t>
            </w:r>
          </w:p>
          <w:p>
            <w:pPr>
              <w:spacing w:after="0"/>
              <w:jc w:val="center"/>
            </w:pPr>
            <w:r>
              <w:rPr>
                <w:rFonts w:ascii="Aptos" w:hAnsi="Aptos"/>
                <w:b/>
                <w:color w:val="B9CAE5"/>
                <w:sz w:val="15"/>
              </w:rPr>
              <w:t>LONGER LATENCY</w:t>
            </w:r>
          </w:p>
        </w:tc>
        <w:tc>
          <w:tcPr>
            <w:tcW w:type="dxa" w:w="3120"/>
            <w:tcMar>
              <w:top w:w="110" w:type="dxa"/>
              <w:start w:w="150" w:type="dxa"/>
              <w:bottom w:w="110" w:type="dxa"/>
              <w:end w:w="150" w:type="dxa"/>
            </w:tcMar>
            <w:shd w:fill="101D33"/>
            <w:vAlign w:val="center"/>
          </w:tcPr>
          <w:p>
            <w:pPr>
              <w:spacing w:after="40"/>
              <w:jc w:val="center"/>
            </w:pPr>
            <w:r>
              <w:rPr>
                <w:rFonts w:ascii="Aptos Display" w:hAnsi="Aptos Display"/>
                <w:b/>
                <w:color w:val="FFFFFF"/>
                <w:sz w:val="38"/>
              </w:rPr>
              <w:t>1.5 h</w:t>
            </w:r>
          </w:p>
          <w:p>
            <w:pPr>
              <w:spacing w:after="0"/>
              <w:jc w:val="center"/>
            </w:pPr>
            <w:r>
              <w:rPr>
                <w:rFonts w:ascii="Aptos" w:hAnsi="Aptos"/>
                <w:b/>
                <w:color w:val="B9CAE5"/>
                <w:sz w:val="15"/>
              </w:rPr>
              <w:t>MORE WEEKLY DEBT</w:t>
            </w:r>
          </w:p>
        </w:tc>
        <w:tc>
          <w:tcPr>
            <w:tcW w:type="dxa" w:w="3120"/>
            <w:tcMar>
              <w:top w:w="110" w:type="dxa"/>
              <w:start w:w="150" w:type="dxa"/>
              <w:bottom w:w="110" w:type="dxa"/>
              <w:end w:w="150" w:type="dxa"/>
            </w:tcMar>
            <w:shd w:fill="101D33"/>
            <w:vAlign w:val="center"/>
          </w:tcPr>
          <w:p>
            <w:pPr>
              <w:spacing w:after="40"/>
              <w:jc w:val="center"/>
            </w:pPr>
            <w:r>
              <w:rPr>
                <w:rFonts w:ascii="Aptos Display" w:hAnsi="Aptos Display"/>
                <w:b/>
                <w:color w:val="FFFFFF"/>
                <w:sz w:val="38"/>
              </w:rPr>
              <w:t>15 min</w:t>
            </w:r>
          </w:p>
          <w:p>
            <w:pPr>
              <w:spacing w:after="0"/>
              <w:jc w:val="center"/>
            </w:pPr>
            <w:r>
              <w:rPr>
                <w:rFonts w:ascii="Aptos" w:hAnsi="Aptos"/>
                <w:b/>
                <w:color w:val="B9CAE5"/>
                <w:sz w:val="15"/>
              </w:rPr>
              <w:t>LESS SLEEP NIGHTLY</w:t>
            </w:r>
          </w:p>
        </w:tc>
      </w:tr>
    </w:tbl>
    <w:p>
      <w:pPr>
        <w:spacing w:after="20"/>
      </w:pPr>
    </w:p>
    <w:p>
      <w:pPr>
        <w:pStyle w:val="ListBullet"/>
        <w:spacing w:after="120"/>
        <w:ind w:left="720" w:hanging="360"/>
      </w:pPr>
      <w:r>
        <w:rPr>
          <w:rFonts w:ascii="Aptos" w:hAnsi="Aptos"/>
          <w:color w:val="152238"/>
          <w:sz w:val="21"/>
        </w:rPr>
        <w:t>Mental load compounds behavioral exposure: doomscrolling plus negative-news consumption aligns with the highest anxiety, stress, and fatigue averages.</w:t>
      </w:r>
    </w:p>
    <w:p>
      <w:pPr>
        <w:pStyle w:val="ListBullet"/>
        <w:spacing w:after="120"/>
        <w:ind w:left="720" w:hanging="360"/>
      </w:pPr>
      <w:r>
        <w:rPr>
          <w:rFonts w:ascii="Aptos" w:hAnsi="Aptos"/>
          <w:color w:val="152238"/>
          <w:sz w:val="21"/>
        </w:rPr>
        <w:t>Reading, meditation/journaling, a phone outside the bedroom, and regular exercise show more protective patterns than night mode alone.</w:t>
      </w:r>
    </w:p>
    <w:p>
      <w:pPr>
        <w:pStyle w:val="ListBullet"/>
        <w:spacing w:after="120"/>
        <w:ind w:left="720" w:hanging="360"/>
      </w:pPr>
      <w:r>
        <w:rPr>
          <w:rFonts w:ascii="Aptos" w:hAnsi="Aptos"/>
          <w:color w:val="152238"/>
          <w:sz w:val="21"/>
        </w:rPr>
        <w:t>Behavioral variables predict sleep-quality category more strongly than most demographics, although subgroup context still matters for targeting.</w:t>
      </w:r>
    </w:p>
    <w:p>
      <w:pPr>
        <w:pStyle w:val="ListBullet"/>
        <w:spacing w:after="120"/>
        <w:ind w:left="720" w:hanging="360"/>
      </w:pPr>
      <w:r>
        <w:rPr>
          <w:rFonts w:ascii="Aptos" w:hAnsi="Aptos"/>
          <w:color w:val="152238"/>
          <w:sz w:val="21"/>
        </w:rPr>
        <w:t>The data appear synthetic or simulation-assisted; findings are descriptive, non-causal, and should not be generalized as population prevalence.</w:t>
      </w:r>
    </w:p>
    <w:tbl>
      <w:tblPr>
        <w:tblW w:type="dxa" w:w="9360"/>
        <w:jc w:val="left"/>
        <w:tblLayout w:type="fixed"/>
        <w:tblLook w:firstColumn="1" w:firstRow="1" w:lastColumn="0" w:lastRow="0" w:noHBand="0" w:noVBand="1" w:val="04A0"/>
        <w:tblInd w:w="120" w:type="dxa"/>
        <w:tblBorders>
          <w:top w:val="single" w:sz="6" w:color="CBD8E8"/>
          <w:left w:val="single" w:sz="6" w:color="CBD8E8"/>
          <w:bottom w:val="single" w:sz="6" w:color="CBD8E8"/>
          <w:right w:val="single" w:sz="6" w:color="CBD8E8"/>
          <w:insideH w:val="single" w:sz="6" w:color="CBD8E8"/>
          <w:insideV w:val="single" w:sz="6" w:color="CBD8E8"/>
        </w:tblBorders>
      </w:tblPr>
      <w:tblGrid>
        <w:gridCol w:w="2340"/>
        <w:gridCol w:w="2340"/>
        <w:gridCol w:w="2340"/>
        <w:gridCol w:w="2340"/>
      </w:tblGrid>
      <w:tr>
        <w:tc>
          <w:tcPr>
            <w:tcW w:type="dxa" w:w="2340"/>
            <w:tcMar>
              <w:top w:w="110" w:type="dxa"/>
              <w:start w:w="150" w:type="dxa"/>
              <w:bottom w:w="110" w:type="dxa"/>
              <w:end w:w="150" w:type="dxa"/>
            </w:tcMar>
            <w:shd w:fill="F5F8FC"/>
          </w:tcPr>
          <w:p>
            <w:r>
              <w:rPr>
                <w:rFonts w:ascii="Aptos Display" w:hAnsi="Aptos Display"/>
                <w:b/>
                <w:color w:val="1F9EB5"/>
                <w:sz w:val="32"/>
              </w:rPr>
              <w:t>01</w:t>
            </w:r>
          </w:p>
          <w:p>
            <w:pPr>
              <w:spacing w:after="40"/>
            </w:pPr>
            <w:r>
              <w:rPr>
                <w:rFonts w:ascii="Aptos" w:hAnsi="Aptos"/>
                <w:b/>
                <w:color w:val="335C9F"/>
                <w:sz w:val="16"/>
              </w:rPr>
              <w:t>CORE</w:t>
            </w:r>
          </w:p>
          <w:p>
            <w:pPr>
              <w:spacing w:after="0"/>
            </w:pPr>
            <w:r>
              <w:rPr>
                <w:rFonts w:ascii="Aptos" w:hAnsi="Aptos"/>
                <w:color w:val="586A86"/>
                <w:sz w:val="17"/>
              </w:rPr>
              <w:t>Exposure → latency → wakeups → debt</w:t>
            </w:r>
          </w:p>
        </w:tc>
        <w:tc>
          <w:tcPr>
            <w:tcW w:type="dxa" w:w="2340"/>
            <w:tcMar>
              <w:top w:w="110" w:type="dxa"/>
              <w:start w:w="150" w:type="dxa"/>
              <w:bottom w:w="110" w:type="dxa"/>
              <w:end w:w="150" w:type="dxa"/>
            </w:tcMar>
            <w:shd w:fill="F5F8FC"/>
          </w:tcPr>
          <w:p>
            <w:r>
              <w:rPr>
                <w:rFonts w:ascii="Aptos Display" w:hAnsi="Aptos Display"/>
                <w:b/>
                <w:color w:val="1F9EB5"/>
                <w:sz w:val="32"/>
              </w:rPr>
              <w:t>02</w:t>
            </w:r>
          </w:p>
          <w:p>
            <w:pPr>
              <w:spacing w:after="40"/>
            </w:pPr>
            <w:r>
              <w:rPr>
                <w:rFonts w:ascii="Aptos" w:hAnsi="Aptos"/>
                <w:b/>
                <w:color w:val="335C9F"/>
                <w:sz w:val="16"/>
              </w:rPr>
              <w:t>MIND</w:t>
            </w:r>
          </w:p>
          <w:p>
            <w:pPr>
              <w:spacing w:after="0"/>
            </w:pPr>
            <w:r>
              <w:rPr>
                <w:rFonts w:ascii="Aptos" w:hAnsi="Aptos"/>
                <w:color w:val="586A86"/>
                <w:sz w:val="17"/>
              </w:rPr>
              <w:t>Negative news compounds mental load</w:t>
            </w:r>
          </w:p>
        </w:tc>
        <w:tc>
          <w:tcPr>
            <w:tcW w:type="dxa" w:w="2340"/>
            <w:tcMar>
              <w:top w:w="110" w:type="dxa"/>
              <w:start w:w="150" w:type="dxa"/>
              <w:bottom w:w="110" w:type="dxa"/>
              <w:end w:w="150" w:type="dxa"/>
            </w:tcMar>
            <w:shd w:fill="F5F8FC"/>
          </w:tcPr>
          <w:p>
            <w:r>
              <w:rPr>
                <w:rFonts w:ascii="Aptos Display" w:hAnsi="Aptos Display"/>
                <w:b/>
                <w:color w:val="1F9EB5"/>
                <w:sz w:val="32"/>
              </w:rPr>
              <w:t>03</w:t>
            </w:r>
          </w:p>
          <w:p>
            <w:pPr>
              <w:spacing w:after="40"/>
            </w:pPr>
            <w:r>
              <w:rPr>
                <w:rFonts w:ascii="Aptos" w:hAnsi="Aptos"/>
                <w:b/>
                <w:color w:val="335C9F"/>
                <w:sz w:val="16"/>
              </w:rPr>
              <w:t>SHIELD</w:t>
            </w:r>
          </w:p>
          <w:p>
            <w:pPr>
              <w:spacing w:after="0"/>
            </w:pPr>
            <w:r>
              <w:rPr>
                <w:rFonts w:ascii="Aptos" w:hAnsi="Aptos"/>
                <w:color w:val="586A86"/>
                <w:sz w:val="17"/>
              </w:rPr>
              <w:t>Routine and environment appear protective</w:t>
            </w:r>
          </w:p>
        </w:tc>
        <w:tc>
          <w:tcPr>
            <w:tcW w:type="dxa" w:w="2340"/>
            <w:tcMar>
              <w:top w:w="110" w:type="dxa"/>
              <w:start w:w="150" w:type="dxa"/>
              <w:bottom w:w="110" w:type="dxa"/>
              <w:end w:w="150" w:type="dxa"/>
            </w:tcMar>
            <w:shd w:fill="F5F8FC"/>
          </w:tcPr>
          <w:p>
            <w:r>
              <w:rPr>
                <w:rFonts w:ascii="Aptos Display" w:hAnsi="Aptos Display"/>
                <w:b/>
                <w:color w:val="1F9EB5"/>
                <w:sz w:val="32"/>
              </w:rPr>
              <w:t>04</w:t>
            </w:r>
          </w:p>
          <w:p>
            <w:pPr>
              <w:spacing w:after="40"/>
            </w:pPr>
            <w:r>
              <w:rPr>
                <w:rFonts w:ascii="Aptos" w:hAnsi="Aptos"/>
                <w:b/>
                <w:color w:val="335C9F"/>
                <w:sz w:val="16"/>
              </w:rPr>
              <w:t>EDGE</w:t>
            </w:r>
          </w:p>
          <w:p>
            <w:pPr>
              <w:spacing w:after="0"/>
            </w:pPr>
            <w:r>
              <w:rPr>
                <w:rFonts w:ascii="Aptos" w:hAnsi="Aptos"/>
                <w:color w:val="586A86"/>
                <w:sz w:val="17"/>
              </w:rPr>
              <w:t>Exceptions show risk is not destiny</w:t>
            </w:r>
          </w:p>
        </w:tc>
      </w:tr>
    </w:tbl>
    <w:p>
      <w:pPr>
        <w:spacing w:after="0"/>
      </w:pPr>
    </w:p>
    <w:p>
      <w:r>
        <w:br w:type="page"/>
      </w:r>
    </w:p>
    <w:p>
      <w:pPr>
        <w:spacing w:before="80" w:after="60"/>
      </w:pPr>
      <w:r>
        <w:rPr>
          <w:rFonts w:ascii="Aptos" w:hAnsi="Aptos"/>
          <w:b/>
          <w:caps/>
          <w:color w:val="1F9EB5"/>
          <w:sz w:val="17"/>
        </w:rPr>
        <w:t>HERO FINDING</w:t>
      </w:r>
    </w:p>
    <w:p>
      <w:pPr>
        <w:pStyle w:val="Heading1"/>
      </w:pPr>
      <w:r>
        <w:t>More scrolling shifts the night toward poorer sleep</w:t>
      </w:r>
    </w:p>
    <w:p>
      <w:pPr>
        <w:widowControl/>
      </w:pPr>
      <w:r>
        <w:rPr>
          <w:rFonts w:ascii="Aptos" w:hAnsi="Aptos"/>
          <w:color w:val="152238"/>
        </w:rPr>
        <w:t>Nightly doomscroll load combines session count with average session duration. Poor sleepers sit noticeably farther to the right, but the scatter also reveals overlap and exceptions—useful evidence that risk accumulates without becoming deterministic.</w:t>
      </w:r>
    </w:p>
    <w:p>
      <w:pPr>
        <w:keepNext/>
        <w:spacing w:before="80" w:after="40"/>
        <w:jc w:val="center"/>
      </w:pPr>
      <w:r>
        <w:drawing>
          <wp:inline xmlns:a="http://schemas.openxmlformats.org/drawingml/2006/main" xmlns:pic="http://schemas.openxmlformats.org/drawingml/2006/picture">
            <wp:extent cx="5897880" cy="3364184"/>
            <wp:docPr id="1" name="Picture 1"/>
            <wp:cNvGraphicFramePr>
              <a:graphicFrameLocks noChangeAspect="1"/>
            </wp:cNvGraphicFramePr>
            <a:graphic>
              <a:graphicData uri="http://schemas.openxmlformats.org/drawingml/2006/picture">
                <pic:pic>
                  <pic:nvPicPr>
                    <pic:cNvPr id="0" name="02_hero_doomscroll_sleep.png"/>
                    <pic:cNvPicPr/>
                  </pic:nvPicPr>
                  <pic:blipFill>
                    <a:blip r:embed="rId11"/>
                    <a:stretch>
                      <a:fillRect/>
                    </a:stretch>
                  </pic:blipFill>
                  <pic:spPr>
                    <a:xfrm>
                      <a:off x="0" y="0"/>
                      <a:ext cx="5897880" cy="3364184"/>
                    </a:xfrm>
                    <a:prstGeom prst="rect"/>
                  </pic:spPr>
                </pic:pic>
              </a:graphicData>
            </a:graphic>
          </wp:inline>
        </w:drawing>
      </w:r>
    </w:p>
    <w:p>
      <w:pPr>
        <w:pStyle w:val="Caption"/>
        <w:keepNext/>
        <w:jc w:val="center"/>
      </w:pPr>
      <w:r>
        <w:rPr>
          <w:rFonts w:ascii="Aptos" w:hAnsi="Aptos"/>
          <w:b/>
          <w:color w:val="586A86"/>
          <w:sz w:val="17"/>
        </w:rPr>
        <w:t xml:space="preserve">Figure 1. </w:t>
      </w:r>
      <w:r>
        <w:rPr>
          <w:rFonts w:ascii="Aptos" w:hAnsi="Aptos"/>
          <w:i/>
          <w:color w:val="586A86"/>
          <w:sz w:val="17"/>
        </w:rPr>
        <w:t>Nightly doomscroll load by reported sleep-quality category.</w:t>
      </w: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1F9EB5"/>
          </w:tcPr>
          <w:p/>
        </w:tc>
        <w:tc>
          <w:tcPr>
            <w:tcW w:type="dxa" w:w="9040"/>
            <w:tcMar>
              <w:top w:w="110" w:type="dxa"/>
              <w:start w:w="150" w:type="dxa"/>
              <w:bottom w:w="110" w:type="dxa"/>
              <w:end w:w="150" w:type="dxa"/>
            </w:tcMar>
            <w:shd w:fill="EEF4FB"/>
          </w:tcPr>
          <w:p>
            <w:pPr>
              <w:spacing w:after="40"/>
            </w:pPr>
            <w:r>
              <w:rPr>
                <w:rFonts w:ascii="Aptos" w:hAnsi="Aptos"/>
                <w:b/>
                <w:color w:val="1F9EB5"/>
                <w:sz w:val="16"/>
              </w:rPr>
              <w:t>READ THIS</w:t>
            </w:r>
          </w:p>
          <w:p>
            <w:pPr>
              <w:spacing w:after="0"/>
            </w:pPr>
            <w:r>
              <w:rPr>
                <w:rFonts w:ascii="Aptos Display" w:hAnsi="Aptos Display"/>
                <w:b/>
                <w:color w:val="152238"/>
                <w:sz w:val="25"/>
              </w:rPr>
              <w:t>Poor sleepers carry the highest median nightly doomscroll load; good sleepers cluster lower, with meaningful overlap.</w:t>
            </w:r>
          </w:p>
        </w:tc>
      </w:tr>
    </w:tbl>
    <w:p>
      <w:pPr>
        <w:spacing w:after="0"/>
      </w:pPr>
    </w:p>
    <w:tbl>
      <w:tblPr>
        <w:tblW w:type="dxa" w:w="9360"/>
        <w:jc w:val="left"/>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tcMar>
              <w:top w:w="110" w:type="dxa"/>
              <w:start w:w="150" w:type="dxa"/>
              <w:bottom w:w="110" w:type="dxa"/>
              <w:end w:w="150" w:type="dxa"/>
            </w:tcMar>
            <w:shd w:fill="7259B8"/>
            <w:vAlign w:val="center"/>
          </w:tcPr>
          <w:p>
            <w:pPr>
              <w:jc w:val="center"/>
            </w:pPr>
            <w:r>
              <w:rPr>
                <w:rFonts w:ascii="Segoe UI Symbol" w:hAnsi="Segoe UI Symbol"/>
                <w:b/>
                <w:color w:val="FFFFFF"/>
                <w:sz w:val="34"/>
              </w:rPr>
              <w:t>▣</w:t>
            </w:r>
          </w:p>
        </w:tc>
        <w:tc>
          <w:tcPr>
            <w:tcW w:type="dxa" w:w="8710"/>
            <w:tcMar>
              <w:top w:w="110" w:type="dxa"/>
              <w:start w:w="150" w:type="dxa"/>
              <w:bottom w:w="110" w:type="dxa"/>
              <w:end w:w="150" w:type="dxa"/>
            </w:tcMar>
            <w:shd w:fill="EEF4FB"/>
          </w:tcPr>
          <w:p>
            <w:r>
              <w:rPr>
                <w:rFonts w:ascii="Aptos Display" w:hAnsi="Aptos Display"/>
                <w:b/>
                <w:color w:val="152238"/>
                <w:sz w:val="34"/>
              </w:rPr>
              <w:t>Core relationship</w:t>
            </w:r>
          </w:p>
          <w:p>
            <w:pPr>
              <w:spacing w:before="20" w:after="0"/>
            </w:pPr>
            <w:r>
              <w:rPr>
                <w:rFonts w:ascii="Aptos" w:hAnsi="Aptos"/>
                <w:color w:val="586A86"/>
                <w:sz w:val="18"/>
              </w:rPr>
              <w:t>Q1–2  |  Sleep quality, latency, wakeups, duration, and debt</w:t>
            </w:r>
          </w:p>
        </w:tc>
      </w:tr>
    </w:tbl>
    <w:p>
      <w:pPr>
        <w:spacing w:after="20"/>
      </w:pPr>
    </w:p>
    <w:p>
      <w:pPr>
        <w:widowControl/>
      </w:pPr>
      <w:r>
        <w:rPr>
          <w:rFonts w:ascii="Aptos" w:hAnsi="Aptos"/>
          <w:color w:val="152238"/>
        </w:rPr>
        <w:t>Across five outcomes, the doomscroller label points in the same direction: longer latency, more wakeups, more debt, shorter sleep, and greater fatigue. Consistency across outcomes strengthens the descriptive story, even though shared causes—stress, habit intensity, or chronotype—may explain part of every gap.</w:t>
      </w:r>
    </w:p>
    <w:p>
      <w:pPr>
        <w:keepNext/>
        <w:spacing w:before="80" w:after="40"/>
        <w:jc w:val="center"/>
      </w:pPr>
      <w:r>
        <w:drawing>
          <wp:inline xmlns:a="http://schemas.openxmlformats.org/drawingml/2006/main" xmlns:pic="http://schemas.openxmlformats.org/drawingml/2006/picture">
            <wp:extent cx="5897880" cy="2150967"/>
            <wp:docPr id="2" name="Picture 2"/>
            <wp:cNvGraphicFramePr>
              <a:graphicFrameLocks noChangeAspect="1"/>
            </wp:cNvGraphicFramePr>
            <a:graphic>
              <a:graphicData uri="http://schemas.openxmlformats.org/drawingml/2006/picture">
                <pic:pic>
                  <pic:nvPicPr>
                    <pic:cNvPr id="0" name="03_doomscroller_comparison.png"/>
                    <pic:cNvPicPr/>
                  </pic:nvPicPr>
                  <pic:blipFill>
                    <a:blip r:embed="rId12"/>
                    <a:stretch>
                      <a:fillRect/>
                    </a:stretch>
                  </pic:blipFill>
                  <pic:spPr>
                    <a:xfrm>
                      <a:off x="0" y="0"/>
                      <a:ext cx="5897880" cy="2150967"/>
                    </a:xfrm>
                    <a:prstGeom prst="rect"/>
                  </pic:spPr>
                </pic:pic>
              </a:graphicData>
            </a:graphic>
          </wp:inline>
        </w:drawing>
      </w:r>
    </w:p>
    <w:p>
      <w:pPr>
        <w:pStyle w:val="Caption"/>
        <w:keepNext/>
        <w:jc w:val="center"/>
      </w:pPr>
      <w:r>
        <w:rPr>
          <w:rFonts w:ascii="Aptos" w:hAnsi="Aptos"/>
          <w:b/>
          <w:color w:val="586A86"/>
          <w:sz w:val="17"/>
        </w:rPr>
        <w:t xml:space="preserve">Figure 2. </w:t>
      </w:r>
      <w:r>
        <w:rPr>
          <w:rFonts w:ascii="Aptos" w:hAnsi="Aptos"/>
          <w:i/>
          <w:color w:val="586A86"/>
          <w:sz w:val="17"/>
        </w:rPr>
        <w:t>Mean sleep outcomes for doomscrollers and non-doomscrollers; error bars show approximate 95% confidence intervals.</w:t>
      </w: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1F9EB5"/>
          </w:tcPr>
          <w:p/>
        </w:tc>
        <w:tc>
          <w:tcPr>
            <w:tcW w:type="dxa" w:w="9040"/>
            <w:tcMar>
              <w:top w:w="110" w:type="dxa"/>
              <w:start w:w="150" w:type="dxa"/>
              <w:bottom w:w="110" w:type="dxa"/>
              <w:end w:w="150" w:type="dxa"/>
            </w:tcMar>
            <w:shd w:fill="EEF4FB"/>
          </w:tcPr>
          <w:p>
            <w:pPr>
              <w:spacing w:after="40"/>
            </w:pPr>
            <w:r>
              <w:rPr>
                <w:rFonts w:ascii="Aptos" w:hAnsi="Aptos"/>
                <w:b/>
                <w:color w:val="1F9EB5"/>
                <w:sz w:val="16"/>
              </w:rPr>
              <w:t>READ THIS</w:t>
            </w:r>
          </w:p>
          <w:p>
            <w:pPr>
              <w:spacing w:after="0"/>
            </w:pPr>
            <w:r>
              <w:rPr>
                <w:rFonts w:ascii="Aptos Display" w:hAnsi="Aptos Display"/>
                <w:b/>
                <w:color w:val="152238"/>
                <w:sz w:val="25"/>
              </w:rPr>
              <w:t>Doomscrollers average 10.6 extra minutes of latency and 1.5 additional hours of weekly debt, plus more wakeups and fatigue.</w:t>
            </w:r>
          </w:p>
        </w:tc>
      </w:tr>
    </w:tbl>
    <w:p>
      <w:pPr>
        <w:spacing w:after="0"/>
      </w:pP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7259B8"/>
          </w:tcPr>
          <w:p/>
        </w:tc>
        <w:tc>
          <w:tcPr>
            <w:tcW w:type="dxa" w:w="9040"/>
            <w:tcMar>
              <w:top w:w="110" w:type="dxa"/>
              <w:start w:w="150" w:type="dxa"/>
              <w:bottom w:w="110" w:type="dxa"/>
              <w:end w:w="150" w:type="dxa"/>
            </w:tcMar>
            <w:shd w:fill="EEF4FB"/>
          </w:tcPr>
          <w:p>
            <w:pPr>
              <w:spacing w:after="40"/>
            </w:pPr>
            <w:r>
              <w:rPr>
                <w:rFonts w:ascii="Aptos" w:hAnsi="Aptos"/>
                <w:b/>
                <w:color w:val="7259B8"/>
                <w:sz w:val="16"/>
              </w:rPr>
              <w:t>PULL QUOTE</w:t>
            </w:r>
          </w:p>
          <w:p>
            <w:pPr>
              <w:spacing w:after="0"/>
            </w:pPr>
            <w:r>
              <w:rPr>
                <w:rFonts w:ascii="Aptos Display" w:hAnsi="Aptos Display"/>
                <w:b/>
                <w:color w:val="152238"/>
                <w:sz w:val="25"/>
              </w:rPr>
              <w:t>The night does not break in one place—it stretches, fragments, and leaves a daytime trace.</w:t>
            </w:r>
          </w:p>
        </w:tc>
      </w:tr>
    </w:tbl>
    <w:p>
      <w:pPr>
        <w:spacing w:after="0"/>
      </w:pPr>
    </w:p>
    <w:p>
      <w:pPr>
        <w:spacing w:before="80" w:after="60"/>
      </w:pPr>
      <w:r>
        <w:rPr>
          <w:rFonts w:ascii="Aptos" w:hAnsi="Aptos"/>
          <w:b/>
          <w:caps/>
          <w:color w:val="B84B82"/>
          <w:sz w:val="17"/>
        </w:rPr>
        <w:t>DOSE RESPONSE</w:t>
      </w:r>
    </w:p>
    <w:p>
      <w:pPr>
        <w:pStyle w:val="Heading1"/>
      </w:pPr>
      <w:r>
        <w:t>Bedtime exposure matters beyond the binary label</w:t>
      </w:r>
    </w:p>
    <w:p>
      <w:pPr>
        <w:widowControl/>
      </w:pPr>
      <w:r>
        <w:rPr>
          <w:rFonts w:ascii="Aptos" w:hAnsi="Aptos"/>
          <w:color w:val="152238"/>
        </w:rPr>
        <w:t>Quartiles reveal a graded pattern: the higher the bedtime screen exposure, the longer respondents take to fall asleep and the more sleep debt they carry. The same direction appears in wakeups and sleep duration, suggesting that the binary doomscroller label compresses a richer dose-response relationship.</w:t>
      </w:r>
    </w:p>
    <w:p>
      <w:pPr>
        <w:keepNext/>
        <w:spacing w:before="80" w:after="40"/>
        <w:jc w:val="center"/>
      </w:pPr>
      <w:r>
        <w:drawing>
          <wp:inline xmlns:a="http://schemas.openxmlformats.org/drawingml/2006/main" xmlns:pic="http://schemas.openxmlformats.org/drawingml/2006/picture">
            <wp:extent cx="5897880" cy="2464133"/>
            <wp:docPr id="3" name="Picture 3"/>
            <wp:cNvGraphicFramePr>
              <a:graphicFrameLocks noChangeAspect="1"/>
            </wp:cNvGraphicFramePr>
            <a:graphic>
              <a:graphicData uri="http://schemas.openxmlformats.org/drawingml/2006/picture">
                <pic:pic>
                  <pic:nvPicPr>
                    <pic:cNvPr id="0" name="04_dose_response.png"/>
                    <pic:cNvPicPr/>
                  </pic:nvPicPr>
                  <pic:blipFill>
                    <a:blip r:embed="rId13"/>
                    <a:stretch>
                      <a:fillRect/>
                    </a:stretch>
                  </pic:blipFill>
                  <pic:spPr>
                    <a:xfrm>
                      <a:off x="0" y="0"/>
                      <a:ext cx="5897880" cy="2464133"/>
                    </a:xfrm>
                    <a:prstGeom prst="rect"/>
                  </pic:spPr>
                </pic:pic>
              </a:graphicData>
            </a:graphic>
          </wp:inline>
        </w:drawing>
      </w:r>
    </w:p>
    <w:p>
      <w:pPr>
        <w:pStyle w:val="Caption"/>
        <w:keepNext/>
        <w:jc w:val="center"/>
      </w:pPr>
      <w:r>
        <w:rPr>
          <w:rFonts w:ascii="Aptos" w:hAnsi="Aptos"/>
          <w:b/>
          <w:color w:val="586A86"/>
          <w:sz w:val="17"/>
        </w:rPr>
        <w:t xml:space="preserve">Figure 3. </w:t>
      </w:r>
      <w:r>
        <w:rPr>
          <w:rFonts w:ascii="Aptos" w:hAnsi="Aptos"/>
          <w:i/>
          <w:color w:val="586A86"/>
          <w:sz w:val="17"/>
        </w:rPr>
        <w:t>Average outcomes across quartiles of bedtime screen time.</w:t>
      </w: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1F9EB5"/>
          </w:tcPr>
          <w:p/>
        </w:tc>
        <w:tc>
          <w:tcPr>
            <w:tcW w:type="dxa" w:w="9040"/>
            <w:tcMar>
              <w:top w:w="110" w:type="dxa"/>
              <w:start w:w="150" w:type="dxa"/>
              <w:bottom w:w="110" w:type="dxa"/>
              <w:end w:w="150" w:type="dxa"/>
            </w:tcMar>
            <w:shd w:fill="EEF4FB"/>
          </w:tcPr>
          <w:p>
            <w:pPr>
              <w:spacing w:after="40"/>
            </w:pPr>
            <w:r>
              <w:rPr>
                <w:rFonts w:ascii="Aptos" w:hAnsi="Aptos"/>
                <w:b/>
                <w:color w:val="1F9EB5"/>
                <w:sz w:val="16"/>
              </w:rPr>
              <w:t>READ THIS</w:t>
            </w:r>
          </w:p>
          <w:p>
            <w:pPr>
              <w:spacing w:after="0"/>
            </w:pPr>
            <w:r>
              <w:rPr>
                <w:rFonts w:ascii="Aptos Display" w:hAnsi="Aptos Display"/>
                <w:b/>
                <w:color w:val="152238"/>
                <w:sz w:val="25"/>
              </w:rPr>
              <w:t>Latency and debt climb across screen-time quartiles while sleep duration declines and wakeups rise.</w:t>
            </w:r>
          </w:p>
        </w:tc>
      </w:tr>
    </w:tbl>
    <w:p>
      <w:pPr>
        <w:spacing w:after="0"/>
      </w:pPr>
    </w:p>
    <w:tbl>
      <w:tblPr>
        <w:tblW w:type="dxa" w:w="9360"/>
        <w:jc w:val="left"/>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tcMar>
              <w:top w:w="110" w:type="dxa"/>
              <w:start w:w="150" w:type="dxa"/>
              <w:bottom w:w="110" w:type="dxa"/>
              <w:end w:w="150" w:type="dxa"/>
            </w:tcMar>
            <w:shd w:fill="B84B82"/>
            <w:vAlign w:val="center"/>
          </w:tcPr>
          <w:p>
            <w:pPr>
              <w:jc w:val="center"/>
            </w:pPr>
            <w:r>
              <w:rPr>
                <w:rFonts w:ascii="Segoe UI Symbol" w:hAnsi="Segoe UI Symbol"/>
                <w:b/>
                <w:color w:val="FFFFFF"/>
                <w:sz w:val="34"/>
              </w:rPr>
              <w:t>◉</w:t>
            </w:r>
          </w:p>
        </w:tc>
        <w:tc>
          <w:tcPr>
            <w:tcW w:type="dxa" w:w="8710"/>
            <w:tcMar>
              <w:top w:w="110" w:type="dxa"/>
              <w:start w:w="150" w:type="dxa"/>
              <w:bottom w:w="110" w:type="dxa"/>
              <w:end w:w="150" w:type="dxa"/>
            </w:tcMar>
            <w:shd w:fill="EEF4FB"/>
          </w:tcPr>
          <w:p>
            <w:r>
              <w:rPr>
                <w:rFonts w:ascii="Aptos Display" w:hAnsi="Aptos Display"/>
                <w:b/>
                <w:color w:val="152238"/>
                <w:sz w:val="34"/>
              </w:rPr>
              <w:t>Mental health angle</w:t>
            </w:r>
          </w:p>
          <w:p>
            <w:pPr>
              <w:spacing w:before="20" w:after="0"/>
            </w:pPr>
            <w:r>
              <w:rPr>
                <w:rFonts w:ascii="Aptos" w:hAnsi="Aptos"/>
                <w:color w:val="586A86"/>
                <w:sz w:val="18"/>
              </w:rPr>
              <w:t>Q3–4  |  Anxiety, stress, fatigue, and negative-news consumption</w:t>
            </w:r>
          </w:p>
        </w:tc>
      </w:tr>
    </w:tbl>
    <w:p>
      <w:pPr>
        <w:spacing w:after="20"/>
      </w:pPr>
    </w:p>
    <w:p>
      <w:pPr>
        <w:widowControl/>
      </w:pPr>
      <w:r>
        <w:rPr>
          <w:rFonts w:ascii="Aptos" w:hAnsi="Aptos"/>
          <w:color w:val="152238"/>
        </w:rPr>
        <w:t>Doomscrolling is as much about content and emotional activation as it is about minutes. When negative-news consumption accompanies doomscrolling, average anxiety, stress, and fatigue are highest. This may reflect a feedback loop: distress can fuel checking behavior, and repeated exposure can prolong arousal.</w:t>
      </w:r>
    </w:p>
    <w:p>
      <w:pPr>
        <w:keepNext/>
        <w:spacing w:before="80" w:after="40"/>
        <w:jc w:val="center"/>
      </w:pPr>
      <w:r>
        <w:drawing>
          <wp:inline xmlns:a="http://schemas.openxmlformats.org/drawingml/2006/main" xmlns:pic="http://schemas.openxmlformats.org/drawingml/2006/picture">
            <wp:extent cx="5897880" cy="3084404"/>
            <wp:docPr id="4" name="Picture 4"/>
            <wp:cNvGraphicFramePr>
              <a:graphicFrameLocks noChangeAspect="1"/>
            </wp:cNvGraphicFramePr>
            <a:graphic>
              <a:graphicData uri="http://schemas.openxmlformats.org/drawingml/2006/picture">
                <pic:pic>
                  <pic:nvPicPr>
                    <pic:cNvPr id="0" name="05_mental_health.png"/>
                    <pic:cNvPicPr/>
                  </pic:nvPicPr>
                  <pic:blipFill>
                    <a:blip r:embed="rId14"/>
                    <a:stretch>
                      <a:fillRect/>
                    </a:stretch>
                  </pic:blipFill>
                  <pic:spPr>
                    <a:xfrm>
                      <a:off x="0" y="0"/>
                      <a:ext cx="5897880" cy="3084404"/>
                    </a:xfrm>
                    <a:prstGeom prst="rect"/>
                  </pic:spPr>
                </pic:pic>
              </a:graphicData>
            </a:graphic>
          </wp:inline>
        </w:drawing>
      </w:r>
    </w:p>
    <w:p>
      <w:pPr>
        <w:pStyle w:val="Caption"/>
        <w:keepNext/>
        <w:jc w:val="center"/>
      </w:pPr>
      <w:r>
        <w:rPr>
          <w:rFonts w:ascii="Aptos" w:hAnsi="Aptos"/>
          <w:b/>
          <w:color w:val="586A86"/>
          <w:sz w:val="17"/>
        </w:rPr>
        <w:t xml:space="preserve">Figure 4. </w:t>
      </w:r>
      <w:r>
        <w:rPr>
          <w:rFonts w:ascii="Aptos" w:hAnsi="Aptos"/>
          <w:i/>
          <w:color w:val="586A86"/>
          <w:sz w:val="17"/>
        </w:rPr>
        <w:t>Average anxiety, stress, and fatigue by doomscrolling and negative-news status.</w:t>
      </w: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1F9EB5"/>
          </w:tcPr>
          <w:p/>
        </w:tc>
        <w:tc>
          <w:tcPr>
            <w:tcW w:type="dxa" w:w="9040"/>
            <w:tcMar>
              <w:top w:w="110" w:type="dxa"/>
              <w:start w:w="150" w:type="dxa"/>
              <w:bottom w:w="110" w:type="dxa"/>
              <w:end w:w="150" w:type="dxa"/>
            </w:tcMar>
            <w:shd w:fill="EEF4FB"/>
          </w:tcPr>
          <w:p>
            <w:pPr>
              <w:spacing w:after="40"/>
            </w:pPr>
            <w:r>
              <w:rPr>
                <w:rFonts w:ascii="Aptos" w:hAnsi="Aptos"/>
                <w:b/>
                <w:color w:val="1F9EB5"/>
                <w:sz w:val="16"/>
              </w:rPr>
              <w:t>READ THIS</w:t>
            </w:r>
          </w:p>
          <w:p>
            <w:pPr>
              <w:spacing w:after="0"/>
            </w:pPr>
            <w:r>
              <w:rPr>
                <w:rFonts w:ascii="Aptos Display" w:hAnsi="Aptos Display"/>
                <w:b/>
                <w:color w:val="152238"/>
                <w:sz w:val="25"/>
              </w:rPr>
              <w:t>The dual-exposure group—doomscrolling plus negative news—shows the heaviest mental-wellbeing burden.</w:t>
            </w:r>
          </w:p>
        </w:tc>
      </w:tr>
    </w:tbl>
    <w:p>
      <w:pPr>
        <w:spacing w:after="0"/>
      </w:pP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B84B82"/>
          </w:tcPr>
          <w:p/>
        </w:tc>
        <w:tc>
          <w:tcPr>
            <w:tcW w:type="dxa" w:w="9040"/>
            <w:tcMar>
              <w:top w:w="110" w:type="dxa"/>
              <w:start w:w="150" w:type="dxa"/>
              <w:bottom w:w="110" w:type="dxa"/>
              <w:end w:w="150" w:type="dxa"/>
            </w:tcMar>
            <w:shd w:fill="EEF4FB"/>
          </w:tcPr>
          <w:p>
            <w:pPr>
              <w:spacing w:after="40"/>
            </w:pPr>
            <w:r>
              <w:rPr>
                <w:rFonts w:ascii="Aptos" w:hAnsi="Aptos"/>
                <w:b/>
                <w:color w:val="B84B82"/>
                <w:sz w:val="16"/>
              </w:rPr>
              <w:t>INTERPRET CAREFULLY</w:t>
            </w:r>
          </w:p>
          <w:p>
            <w:pPr>
              <w:spacing w:after="0"/>
            </w:pPr>
            <w:r>
              <w:rPr>
                <w:rFonts w:ascii="Aptos Display" w:hAnsi="Aptos Display"/>
                <w:b/>
                <w:color w:val="152238"/>
                <w:sz w:val="25"/>
              </w:rPr>
              <w:t>Direction is unresolved: the dataset cannot tell whether distress drives scrolling, scrolling drives distress, or both.</w:t>
            </w:r>
          </w:p>
        </w:tc>
      </w:tr>
    </w:tbl>
    <w:p>
      <w:pPr>
        <w:spacing w:after="0"/>
      </w:pPr>
    </w:p>
    <w:tbl>
      <w:tblPr>
        <w:tblW w:type="dxa" w:w="9360"/>
        <w:jc w:val="left"/>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tcMar>
              <w:top w:w="110" w:type="dxa"/>
              <w:start w:w="150" w:type="dxa"/>
              <w:bottom w:w="110" w:type="dxa"/>
              <w:end w:w="150" w:type="dxa"/>
            </w:tcMar>
            <w:shd w:fill="248267"/>
            <w:vAlign w:val="center"/>
          </w:tcPr>
          <w:p>
            <w:pPr>
              <w:jc w:val="center"/>
            </w:pPr>
            <w:r>
              <w:rPr>
                <w:rFonts w:ascii="Segoe UI Symbol" w:hAnsi="Segoe UI Symbol"/>
                <w:b/>
                <w:color w:val="FFFFFF"/>
                <w:sz w:val="34"/>
              </w:rPr>
              <w:t>◇</w:t>
            </w:r>
          </w:p>
        </w:tc>
        <w:tc>
          <w:tcPr>
            <w:tcW w:type="dxa" w:w="8710"/>
            <w:tcMar>
              <w:top w:w="110" w:type="dxa"/>
              <w:start w:w="150" w:type="dxa"/>
              <w:bottom w:w="110" w:type="dxa"/>
              <w:end w:w="150" w:type="dxa"/>
            </w:tcMar>
            <w:shd w:fill="EEF4FB"/>
          </w:tcPr>
          <w:p>
            <w:r>
              <w:rPr>
                <w:rFonts w:ascii="Aptos Display" w:hAnsi="Aptos Display"/>
                <w:b/>
                <w:color w:val="152238"/>
                <w:sz w:val="34"/>
              </w:rPr>
              <w:t>Protective habits</w:t>
            </w:r>
          </w:p>
          <w:p>
            <w:pPr>
              <w:spacing w:before="20" w:after="0"/>
            </w:pPr>
            <w:r>
              <w:rPr>
                <w:rFonts w:ascii="Aptos" w:hAnsi="Aptos"/>
                <w:color w:val="586A86"/>
                <w:sz w:val="18"/>
              </w:rPr>
              <w:t>Q5–6  |  What appears to soften the pattern?</w:t>
            </w:r>
          </w:p>
        </w:tc>
      </w:tr>
    </w:tbl>
    <w:p>
      <w:pPr>
        <w:spacing w:after="20"/>
      </w:pPr>
    </w:p>
    <w:p>
      <w:pPr>
        <w:widowControl/>
      </w:pPr>
      <w:r>
        <w:rPr>
          <w:rFonts w:ascii="Aptos" w:hAnsi="Aptos"/>
          <w:color w:val="152238"/>
        </w:rPr>
        <w:t>The most useful protective signals are structural: what the respondent does before bed, where the phone sleeps, and whether daytime movement is protected. Night mode is convenient, but its average profile is weaker than the profile of a genuinely different bedtime routine.</w:t>
      </w:r>
    </w:p>
    <w:p>
      <w:pPr>
        <w:keepNext/>
        <w:spacing w:before="80" w:after="40"/>
        <w:jc w:val="center"/>
      </w:pPr>
      <w:r>
        <w:drawing>
          <wp:inline xmlns:a="http://schemas.openxmlformats.org/drawingml/2006/main" xmlns:pic="http://schemas.openxmlformats.org/drawingml/2006/picture">
            <wp:extent cx="5897880" cy="2976870"/>
            <wp:docPr id="5" name="Picture 5"/>
            <wp:cNvGraphicFramePr>
              <a:graphicFrameLocks noChangeAspect="1"/>
            </wp:cNvGraphicFramePr>
            <a:graphic>
              <a:graphicData uri="http://schemas.openxmlformats.org/drawingml/2006/picture">
                <pic:pic>
                  <pic:nvPicPr>
                    <pic:cNvPr id="0" name="06_protective_habits.png"/>
                    <pic:cNvPicPr/>
                  </pic:nvPicPr>
                  <pic:blipFill>
                    <a:blip r:embed="rId15"/>
                    <a:stretch>
                      <a:fillRect/>
                    </a:stretch>
                  </pic:blipFill>
                  <pic:spPr>
                    <a:xfrm>
                      <a:off x="0" y="0"/>
                      <a:ext cx="5897880" cy="2976870"/>
                    </a:xfrm>
                    <a:prstGeom prst="rect"/>
                  </pic:spPr>
                </pic:pic>
              </a:graphicData>
            </a:graphic>
          </wp:inline>
        </w:drawing>
      </w:r>
    </w:p>
    <w:p>
      <w:pPr>
        <w:pStyle w:val="Caption"/>
        <w:keepNext/>
        <w:jc w:val="center"/>
      </w:pPr>
      <w:r>
        <w:rPr>
          <w:rFonts w:ascii="Aptos" w:hAnsi="Aptos"/>
          <w:b/>
          <w:color w:val="586A86"/>
          <w:sz w:val="17"/>
        </w:rPr>
        <w:t xml:space="preserve">Figure 5. </w:t>
      </w:r>
      <w:r>
        <w:rPr>
          <w:rFonts w:ascii="Aptos" w:hAnsi="Aptos"/>
          <w:i/>
          <w:color w:val="586A86"/>
          <w:sz w:val="17"/>
        </w:rPr>
        <w:t>Good-sleep share and sleep latency for selected habits and routines.</w:t>
      </w: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1F9EB5"/>
          </w:tcPr>
          <w:p/>
        </w:tc>
        <w:tc>
          <w:tcPr>
            <w:tcW w:type="dxa" w:w="9040"/>
            <w:tcMar>
              <w:top w:w="110" w:type="dxa"/>
              <w:start w:w="150" w:type="dxa"/>
              <w:bottom w:w="110" w:type="dxa"/>
              <w:end w:w="150" w:type="dxa"/>
            </w:tcMar>
            <w:shd w:fill="EEF4FB"/>
          </w:tcPr>
          <w:p>
            <w:pPr>
              <w:spacing w:after="40"/>
            </w:pPr>
            <w:r>
              <w:rPr>
                <w:rFonts w:ascii="Aptos" w:hAnsi="Aptos"/>
                <w:b/>
                <w:color w:val="1F9EB5"/>
                <w:sz w:val="16"/>
              </w:rPr>
              <w:t>READ THIS</w:t>
            </w:r>
          </w:p>
          <w:p>
            <w:pPr>
              <w:spacing w:after="0"/>
            </w:pPr>
            <w:r>
              <w:rPr>
                <w:rFonts w:ascii="Aptos Display" w:hAnsi="Aptos Display"/>
                <w:b/>
                <w:color w:val="152238"/>
                <w:sz w:val="25"/>
              </w:rPr>
              <w:t>Reading and meditation/journaling stand out; a social-scrolling routine performs worst, and night mode alone is not a strong substitute for routine change.</w:t>
            </w:r>
          </w:p>
        </w:tc>
      </w:tr>
    </w:tbl>
    <w:p>
      <w:pPr>
        <w:spacing w:after="0"/>
      </w:pPr>
    </w:p>
    <w:p>
      <w:pPr>
        <w:keepNext/>
        <w:spacing w:before="80" w:after="40"/>
        <w:jc w:val="center"/>
      </w:pPr>
      <w:r>
        <w:drawing>
          <wp:inline xmlns:a="http://schemas.openxmlformats.org/drawingml/2006/main" xmlns:pic="http://schemas.openxmlformats.org/drawingml/2006/picture">
            <wp:extent cx="5897880" cy="3222331"/>
            <wp:docPr id="6" name="Picture 6"/>
            <wp:cNvGraphicFramePr>
              <a:graphicFrameLocks noChangeAspect="1"/>
            </wp:cNvGraphicFramePr>
            <a:graphic>
              <a:graphicData uri="http://schemas.openxmlformats.org/drawingml/2006/picture">
                <pic:pic>
                  <pic:nvPicPr>
                    <pic:cNvPr id="0" name="07_exercise_gradient.png"/>
                    <pic:cNvPicPr/>
                  </pic:nvPicPr>
                  <pic:blipFill>
                    <a:blip r:embed="rId16"/>
                    <a:stretch>
                      <a:fillRect/>
                    </a:stretch>
                  </pic:blipFill>
                  <pic:spPr>
                    <a:xfrm>
                      <a:off x="0" y="0"/>
                      <a:ext cx="5897880" cy="3222331"/>
                    </a:xfrm>
                    <a:prstGeom prst="rect"/>
                  </pic:spPr>
                </pic:pic>
              </a:graphicData>
            </a:graphic>
          </wp:inline>
        </w:drawing>
      </w:r>
    </w:p>
    <w:p>
      <w:pPr>
        <w:pStyle w:val="Caption"/>
        <w:keepNext/>
        <w:jc w:val="center"/>
      </w:pPr>
      <w:r>
        <w:rPr>
          <w:rFonts w:ascii="Aptos" w:hAnsi="Aptos"/>
          <w:b/>
          <w:color w:val="586A86"/>
          <w:sz w:val="17"/>
        </w:rPr>
        <w:t xml:space="preserve">Figure 6. </w:t>
      </w:r>
      <w:r>
        <w:rPr>
          <w:rFonts w:ascii="Aptos" w:hAnsi="Aptos"/>
          <w:i/>
          <w:color w:val="586A86"/>
          <w:sz w:val="17"/>
        </w:rPr>
        <w:t>Good-sleep share and daytime fatigue across exercise bands.</w:t>
      </w: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1F9EB5"/>
          </w:tcPr>
          <w:p/>
        </w:tc>
        <w:tc>
          <w:tcPr>
            <w:tcW w:type="dxa" w:w="9040"/>
            <w:tcMar>
              <w:top w:w="110" w:type="dxa"/>
              <w:start w:w="150" w:type="dxa"/>
              <w:bottom w:w="110" w:type="dxa"/>
              <w:end w:w="150" w:type="dxa"/>
            </w:tcMar>
            <w:shd w:fill="EEF4FB"/>
          </w:tcPr>
          <w:p>
            <w:pPr>
              <w:spacing w:after="40"/>
            </w:pPr>
            <w:r>
              <w:rPr>
                <w:rFonts w:ascii="Aptos" w:hAnsi="Aptos"/>
                <w:b/>
                <w:color w:val="1F9EB5"/>
                <w:sz w:val="16"/>
              </w:rPr>
              <w:t>READ THIS</w:t>
            </w:r>
          </w:p>
          <w:p>
            <w:pPr>
              <w:spacing w:after="0"/>
            </w:pPr>
            <w:r>
              <w:rPr>
                <w:rFonts w:ascii="Aptos Display" w:hAnsi="Aptos Display"/>
                <w:b/>
                <w:color w:val="152238"/>
                <w:sz w:val="25"/>
              </w:rPr>
              <w:t>Exercise looks modestly protective, but the pattern is not perfectly monotonic and should not be treated as a cure-all.</w:t>
            </w:r>
          </w:p>
        </w:tc>
      </w:tr>
    </w:tbl>
    <w:p>
      <w:pPr>
        <w:spacing w:after="0"/>
      </w:pPr>
    </w:p>
    <w:tbl>
      <w:tblPr>
        <w:tblW w:type="dxa" w:w="9360"/>
        <w:jc w:val="left"/>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tcMar>
              <w:top w:w="110" w:type="dxa"/>
              <w:start w:w="150" w:type="dxa"/>
              <w:bottom w:w="110" w:type="dxa"/>
              <w:end w:w="150" w:type="dxa"/>
            </w:tcMar>
            <w:shd w:fill="C08B2A"/>
            <w:vAlign w:val="center"/>
          </w:tcPr>
          <w:p>
            <w:pPr>
              <w:jc w:val="center"/>
            </w:pPr>
            <w:r>
              <w:rPr>
                <w:rFonts w:ascii="Segoe UI Symbol" w:hAnsi="Segoe UI Symbol"/>
                <w:b/>
                <w:color w:val="FFFFFF"/>
                <w:sz w:val="34"/>
              </w:rPr>
              <w:t>◎</w:t>
            </w:r>
          </w:p>
        </w:tc>
        <w:tc>
          <w:tcPr>
            <w:tcW w:type="dxa" w:w="8710"/>
            <w:tcMar>
              <w:top w:w="110" w:type="dxa"/>
              <w:start w:w="150" w:type="dxa"/>
              <w:bottom w:w="110" w:type="dxa"/>
              <w:end w:w="150" w:type="dxa"/>
            </w:tcMar>
            <w:shd w:fill="EEF4FB"/>
          </w:tcPr>
          <w:p>
            <w:r>
              <w:rPr>
                <w:rFonts w:ascii="Aptos Display" w:hAnsi="Aptos Display"/>
                <w:b/>
                <w:color w:val="152238"/>
                <w:sz w:val="34"/>
              </w:rPr>
              <w:t>Demographic context</w:t>
            </w:r>
          </w:p>
          <w:p>
            <w:pPr>
              <w:spacing w:before="20" w:after="0"/>
            </w:pPr>
            <w:r>
              <w:rPr>
                <w:rFonts w:ascii="Aptos" w:hAnsi="Aptos"/>
                <w:color w:val="586A86"/>
                <w:sz w:val="18"/>
              </w:rPr>
              <w:t>Q7–8  |  Age buckets, occupation, country, and descriptive gender context</w:t>
            </w:r>
          </w:p>
        </w:tc>
      </w:tr>
    </w:tbl>
    <w:p>
      <w:pPr>
        <w:spacing w:after="20"/>
      </w:pPr>
    </w:p>
    <w:p>
      <w:pPr>
        <w:widowControl/>
      </w:pPr>
      <w:r>
        <w:rPr>
          <w:rFonts w:ascii="Aptos" w:hAnsi="Aptos"/>
          <w:color w:val="152238"/>
        </w:rPr>
        <w:t>Age buckets replace raw age wherever they make the story easier to read: Teens (15–19), 20s (20–29), and 30s+. Age–occupation cells reveal pockets of elevated doomscrolling, while country rates vary across samples of very different sizes. These breakdowns are useful for segmentation, not ranking.</w:t>
      </w:r>
    </w:p>
    <w:p>
      <w:pPr>
        <w:keepNext/>
        <w:spacing w:before="80" w:after="40"/>
        <w:jc w:val="center"/>
      </w:pPr>
      <w:r>
        <w:drawing>
          <wp:inline xmlns:a="http://schemas.openxmlformats.org/drawingml/2006/main" xmlns:pic="http://schemas.openxmlformats.org/drawingml/2006/picture">
            <wp:extent cx="5897880" cy="2695340"/>
            <wp:docPr id="7" name="Picture 7"/>
            <wp:cNvGraphicFramePr>
              <a:graphicFrameLocks noChangeAspect="1"/>
            </wp:cNvGraphicFramePr>
            <a:graphic>
              <a:graphicData uri="http://schemas.openxmlformats.org/drawingml/2006/picture">
                <pic:pic>
                  <pic:nvPicPr>
                    <pic:cNvPr id="0" name="08_demographics.png"/>
                    <pic:cNvPicPr/>
                  </pic:nvPicPr>
                  <pic:blipFill>
                    <a:blip r:embed="rId17"/>
                    <a:stretch>
                      <a:fillRect/>
                    </a:stretch>
                  </pic:blipFill>
                  <pic:spPr>
                    <a:xfrm>
                      <a:off x="0" y="0"/>
                      <a:ext cx="5897880" cy="2695340"/>
                    </a:xfrm>
                    <a:prstGeom prst="rect"/>
                  </pic:spPr>
                </pic:pic>
              </a:graphicData>
            </a:graphic>
          </wp:inline>
        </w:drawing>
      </w:r>
    </w:p>
    <w:p>
      <w:pPr>
        <w:pStyle w:val="Caption"/>
        <w:keepNext/>
        <w:jc w:val="center"/>
      </w:pPr>
      <w:r>
        <w:rPr>
          <w:rFonts w:ascii="Aptos" w:hAnsi="Aptos"/>
          <w:b/>
          <w:color w:val="586A86"/>
          <w:sz w:val="17"/>
        </w:rPr>
        <w:t xml:space="preserve">Figure 7. </w:t>
      </w:r>
      <w:r>
        <w:rPr>
          <w:rFonts w:ascii="Aptos" w:hAnsi="Aptos"/>
          <w:i/>
          <w:color w:val="586A86"/>
          <w:sz w:val="17"/>
        </w:rPr>
        <w:t>Doomscrolling by age bucket and occupation, plus country-level doomscrolling and poor-sleep shares.</w:t>
      </w: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1F9EB5"/>
          </w:tcPr>
          <w:p/>
        </w:tc>
        <w:tc>
          <w:tcPr>
            <w:tcW w:type="dxa" w:w="9040"/>
            <w:tcMar>
              <w:top w:w="110" w:type="dxa"/>
              <w:start w:w="150" w:type="dxa"/>
              <w:bottom w:w="110" w:type="dxa"/>
              <w:end w:w="150" w:type="dxa"/>
            </w:tcMar>
            <w:shd w:fill="EEF4FB"/>
          </w:tcPr>
          <w:p>
            <w:pPr>
              <w:spacing w:after="40"/>
            </w:pPr>
            <w:r>
              <w:rPr>
                <w:rFonts w:ascii="Aptos" w:hAnsi="Aptos"/>
                <w:b/>
                <w:color w:val="1F9EB5"/>
                <w:sz w:val="16"/>
              </w:rPr>
              <w:t>READ THIS</w:t>
            </w:r>
          </w:p>
          <w:p>
            <w:pPr>
              <w:spacing w:after="0"/>
            </w:pPr>
            <w:r>
              <w:rPr>
                <w:rFonts w:ascii="Aptos Display" w:hAnsi="Aptos Display"/>
                <w:b/>
                <w:color w:val="152238"/>
                <w:sz w:val="25"/>
              </w:rPr>
              <w:t>Younger/student pockets are often elevated, but small cells and uneven country samples make the differences descriptive rather than definitive.</w:t>
            </w:r>
          </w:p>
        </w:tc>
      </w:tr>
    </w:tbl>
    <w:p>
      <w:pPr>
        <w:spacing w:after="0"/>
      </w:pP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C08B2A"/>
          </w:tcPr>
          <w:p/>
        </w:tc>
        <w:tc>
          <w:tcPr>
            <w:tcW w:type="dxa" w:w="9040"/>
            <w:tcMar>
              <w:top w:w="110" w:type="dxa"/>
              <w:start w:w="150" w:type="dxa"/>
              <w:bottom w:w="110" w:type="dxa"/>
              <w:end w:w="150" w:type="dxa"/>
            </w:tcMar>
            <w:shd w:fill="EEF4FB"/>
          </w:tcPr>
          <w:p>
            <w:pPr>
              <w:spacing w:after="40"/>
            </w:pPr>
            <w:r>
              <w:rPr>
                <w:rFonts w:ascii="Aptos" w:hAnsi="Aptos"/>
                <w:b/>
                <w:color w:val="C08B2A"/>
                <w:sz w:val="16"/>
              </w:rPr>
              <w:t>GENDER</w:t>
            </w:r>
          </w:p>
          <w:p>
            <w:pPr>
              <w:spacing w:after="0"/>
            </w:pPr>
            <w:r>
              <w:rPr>
                <w:rFonts w:ascii="Aptos Display" w:hAnsi="Aptos Display"/>
                <w:b/>
                <w:color w:val="152238"/>
                <w:sz w:val="25"/>
              </w:rPr>
              <w:t>Gender differences are modest in this sample and are presented descriptively only; behavior remains the more actionable signal.</w:t>
            </w:r>
          </w:p>
        </w:tc>
      </w:tr>
    </w:tbl>
    <w:p>
      <w:pPr>
        <w:spacing w:after="0"/>
      </w:pPr>
    </w:p>
    <w:tbl>
      <w:tblPr>
        <w:tblW w:type="dxa" w:w="9360"/>
        <w:jc w:val="left"/>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tcMar>
              <w:top w:w="110" w:type="dxa"/>
              <w:start w:w="150" w:type="dxa"/>
              <w:bottom w:w="110" w:type="dxa"/>
              <w:end w:w="150" w:type="dxa"/>
            </w:tcMar>
            <w:shd w:fill="1F9EB5"/>
            <w:vAlign w:val="center"/>
          </w:tcPr>
          <w:p>
            <w:pPr>
              <w:jc w:val="center"/>
            </w:pPr>
            <w:r>
              <w:rPr>
                <w:rFonts w:ascii="Segoe UI Symbol" w:hAnsi="Segoe UI Symbol"/>
                <w:b/>
                <w:color w:val="FFFFFF"/>
                <w:sz w:val="34"/>
              </w:rPr>
              <w:t>↗</w:t>
            </w:r>
          </w:p>
        </w:tc>
        <w:tc>
          <w:tcPr>
            <w:tcW w:type="dxa" w:w="8710"/>
            <w:tcMar>
              <w:top w:w="110" w:type="dxa"/>
              <w:start w:w="150" w:type="dxa"/>
              <w:bottom w:w="110" w:type="dxa"/>
              <w:end w:w="150" w:type="dxa"/>
            </w:tcMar>
            <w:shd w:fill="EEF4FB"/>
          </w:tcPr>
          <w:p>
            <w:r>
              <w:rPr>
                <w:rFonts w:ascii="Aptos Display" w:hAnsi="Aptos Display"/>
                <w:b/>
                <w:color w:val="152238"/>
                <w:sz w:val="34"/>
              </w:rPr>
              <w:t>The Exceptions</w:t>
            </w:r>
          </w:p>
          <w:p>
            <w:pPr>
              <w:spacing w:before="20" w:after="0"/>
            </w:pPr>
            <w:r>
              <w:rPr>
                <w:rFonts w:ascii="Aptos" w:hAnsi="Aptos"/>
                <w:color w:val="586A86"/>
                <w:sz w:val="18"/>
              </w:rPr>
              <w:t>Counter-narrative  |  Heavy scrollers who still report good sleep</w:t>
            </w:r>
          </w:p>
        </w:tc>
      </w:tr>
    </w:tbl>
    <w:p>
      <w:pPr>
        <w:spacing w:after="20"/>
      </w:pPr>
    </w:p>
    <w:p>
      <w:pPr>
        <w:widowControl/>
      </w:pPr>
      <w:r>
        <w:rPr>
          <w:rFonts w:ascii="Aptos" w:hAnsi="Aptos"/>
          <w:color w:val="152238"/>
        </w:rPr>
        <w:t>Heavy doomscrollers are defined here as self-identified doomscrollers at or above 66 minutes of bedtime screen time—the top quartile threshold. There are 204 such respondents, yet only 11 report good sleep. The group is small enough to demand caution, but distinct enough to challenge a simplistic ‘scrolling equals poor sleep’ conclusion.</w:t>
      </w:r>
    </w:p>
    <w:p>
      <w:pPr>
        <w:keepNext/>
        <w:spacing w:before="80" w:after="40"/>
        <w:jc w:val="center"/>
      </w:pPr>
      <w:r>
        <w:drawing>
          <wp:inline xmlns:a="http://schemas.openxmlformats.org/drawingml/2006/main" xmlns:pic="http://schemas.openxmlformats.org/drawingml/2006/picture">
            <wp:extent cx="5897880" cy="3127355"/>
            <wp:docPr id="8" name="Picture 8"/>
            <wp:cNvGraphicFramePr>
              <a:graphicFrameLocks noChangeAspect="1"/>
            </wp:cNvGraphicFramePr>
            <a:graphic>
              <a:graphicData uri="http://schemas.openxmlformats.org/drawingml/2006/picture">
                <pic:pic>
                  <pic:nvPicPr>
                    <pic:cNvPr id="0" name="10_exceptions.png"/>
                    <pic:cNvPicPr/>
                  </pic:nvPicPr>
                  <pic:blipFill>
                    <a:blip r:embed="rId18"/>
                    <a:stretch>
                      <a:fillRect/>
                    </a:stretch>
                  </pic:blipFill>
                  <pic:spPr>
                    <a:xfrm>
                      <a:off x="0" y="0"/>
                      <a:ext cx="5897880" cy="3127355"/>
                    </a:xfrm>
                    <a:prstGeom prst="rect"/>
                  </pic:spPr>
                </pic:pic>
              </a:graphicData>
            </a:graphic>
          </wp:inline>
        </w:drawing>
      </w:r>
    </w:p>
    <w:p>
      <w:pPr>
        <w:pStyle w:val="Caption"/>
        <w:keepNext/>
        <w:jc w:val="center"/>
      </w:pPr>
      <w:r>
        <w:rPr>
          <w:rFonts w:ascii="Aptos" w:hAnsi="Aptos"/>
          <w:b/>
          <w:color w:val="586A86"/>
          <w:sz w:val="17"/>
        </w:rPr>
        <w:t xml:space="preserve">Figure 8. </w:t>
      </w:r>
      <w:r>
        <w:rPr>
          <w:rFonts w:ascii="Aptos" w:hAnsi="Aptos"/>
          <w:i/>
          <w:color w:val="586A86"/>
          <w:sz w:val="17"/>
        </w:rPr>
        <w:t>Standardized differences between good-sleep exceptions and other heavy scrollers.</w:t>
      </w: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1F9EB5"/>
          </w:tcPr>
          <w:p/>
        </w:tc>
        <w:tc>
          <w:tcPr>
            <w:tcW w:type="dxa" w:w="9040"/>
            <w:tcMar>
              <w:top w:w="110" w:type="dxa"/>
              <w:start w:w="150" w:type="dxa"/>
              <w:bottom w:w="110" w:type="dxa"/>
              <w:end w:w="150" w:type="dxa"/>
            </w:tcMar>
            <w:shd w:fill="EEF4FB"/>
          </w:tcPr>
          <w:p>
            <w:pPr>
              <w:spacing w:after="40"/>
            </w:pPr>
            <w:r>
              <w:rPr>
                <w:rFonts w:ascii="Aptos" w:hAnsi="Aptos"/>
                <w:b/>
                <w:color w:val="1F9EB5"/>
                <w:sz w:val="16"/>
              </w:rPr>
              <w:t>READ THIS</w:t>
            </w:r>
          </w:p>
          <w:p>
            <w:pPr>
              <w:spacing w:after="0"/>
            </w:pPr>
            <w:r>
              <w:rPr>
                <w:rFonts w:ascii="Aptos Display" w:hAnsi="Aptos Display"/>
                <w:b/>
                <w:color w:val="152238"/>
                <w:sz w:val="25"/>
              </w:rPr>
              <w:t>The exceptions realize more sleep and less debt/latency, with restorative bedtime routines appearing more often.</w:t>
            </w:r>
          </w:p>
        </w:tc>
      </w:tr>
    </w:tbl>
    <w:p>
      <w:pPr>
        <w:spacing w:after="0"/>
      </w:pP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1F9EB5"/>
          </w:tcPr>
          <w:p/>
        </w:tc>
        <w:tc>
          <w:tcPr>
            <w:tcW w:type="dxa" w:w="9040"/>
            <w:tcMar>
              <w:top w:w="110" w:type="dxa"/>
              <w:start w:w="150" w:type="dxa"/>
              <w:bottom w:w="110" w:type="dxa"/>
              <w:end w:w="150" w:type="dxa"/>
            </w:tcMar>
            <w:shd w:fill="EEF4FB"/>
          </w:tcPr>
          <w:p>
            <w:pPr>
              <w:spacing w:after="40"/>
            </w:pPr>
            <w:r>
              <w:rPr>
                <w:rFonts w:ascii="Aptos" w:hAnsi="Aptos"/>
                <w:b/>
                <w:color w:val="1F9EB5"/>
                <w:sz w:val="16"/>
              </w:rPr>
              <w:t>COUNTER-NARRATIVE</w:t>
            </w:r>
          </w:p>
          <w:p>
            <w:pPr>
              <w:spacing w:after="0"/>
            </w:pPr>
            <w:r>
              <w:rPr>
                <w:rFonts w:ascii="Aptos Display" w:hAnsi="Aptos Display"/>
                <w:b/>
                <w:color w:val="152238"/>
                <w:sz w:val="25"/>
              </w:rPr>
              <w:t>Exposure raises risk; routine and realized sleep appear to shape whether that risk becomes an outcome.</w:t>
            </w:r>
          </w:p>
        </w:tc>
      </w:tr>
    </w:tbl>
    <w:p>
      <w:pPr>
        <w:spacing w:after="0"/>
      </w:pPr>
    </w:p>
    <w:tbl>
      <w:tblPr>
        <w:tblW w:type="dxa" w:w="9360"/>
        <w:jc w:val="left"/>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tcMar>
              <w:top w:w="110" w:type="dxa"/>
              <w:start w:w="150" w:type="dxa"/>
              <w:bottom w:w="110" w:type="dxa"/>
              <w:end w:w="150" w:type="dxa"/>
            </w:tcMar>
            <w:shd w:fill="7259B8"/>
            <w:vAlign w:val="center"/>
          </w:tcPr>
          <w:p>
            <w:pPr>
              <w:jc w:val="center"/>
            </w:pPr>
            <w:r>
              <w:rPr>
                <w:rFonts w:ascii="Segoe UI Symbol" w:hAnsi="Segoe UI Symbol"/>
                <w:b/>
                <w:color w:val="FFFFFF"/>
                <w:sz w:val="34"/>
              </w:rPr>
              <w:t>◌</w:t>
            </w:r>
          </w:p>
        </w:tc>
        <w:tc>
          <w:tcPr>
            <w:tcW w:type="dxa" w:w="8710"/>
            <w:tcMar>
              <w:top w:w="110" w:type="dxa"/>
              <w:start w:w="150" w:type="dxa"/>
              <w:bottom w:w="110" w:type="dxa"/>
              <w:end w:w="150" w:type="dxa"/>
            </w:tcMar>
            <w:shd w:fill="EEF4FB"/>
          </w:tcPr>
          <w:p>
            <w:r>
              <w:rPr>
                <w:rFonts w:ascii="Aptos Display" w:hAnsi="Aptos Display"/>
                <w:b/>
                <w:color w:val="152238"/>
                <w:sz w:val="34"/>
              </w:rPr>
              <w:t>Personas</w:t>
            </w:r>
          </w:p>
          <w:p>
            <w:pPr>
              <w:spacing w:before="20" w:after="0"/>
            </w:pPr>
            <w:r>
              <w:rPr>
                <w:rFonts w:ascii="Aptos" w:hAnsi="Aptos"/>
                <w:color w:val="586A86"/>
                <w:sz w:val="18"/>
              </w:rPr>
              <w:t>Three transparent respondent profiles for product and behavior design</w:t>
            </w:r>
          </w:p>
        </w:tc>
      </w:tr>
    </w:tbl>
    <w:p>
      <w:pPr>
        <w:spacing w:after="20"/>
      </w:pPr>
    </w:p>
    <w:p>
      <w:pPr>
        <w:widowControl/>
      </w:pPr>
      <w:r>
        <w:rPr>
          <w:rFonts w:ascii="Aptos" w:hAnsi="Aptos"/>
          <w:color w:val="152238"/>
        </w:rPr>
        <w:t>These personas are manually defined combinations, not diagnoses or opaque clusters. They make the evidence easier to act on by separating exposure-heavy, emotion-heavy, and routine-protected patterns.</w:t>
      </w:r>
    </w:p>
    <w:tbl>
      <w:tblPr>
        <w:tblW w:type="dxa" w:w="9360"/>
        <w:jc w:val="left"/>
        <w:tblLayout w:type="fixed"/>
        <w:tblLook w:firstColumn="1" w:firstRow="1" w:lastColumn="0" w:lastRow="0" w:noHBand="0" w:noVBand="1" w:val="04A0"/>
        <w:tblInd w:w="120" w:type="dxa"/>
        <w:tblBorders>
          <w:top w:val="single" w:sz="10" w:color="B84B82"/>
          <w:left w:val="single" w:sz="10" w:color="B84B82"/>
          <w:bottom w:val="single" w:sz="10" w:color="B84B82"/>
          <w:right w:val="single" w:sz="10" w:color="B84B82"/>
          <w:insideH w:val="single" w:sz="10" w:color="B84B82"/>
          <w:insideV w:val="single" w:sz="10" w:color="B84B82"/>
        </w:tblBorders>
      </w:tblPr>
      <w:tblGrid>
        <w:gridCol w:w="9360"/>
      </w:tblGrid>
      <w:tr>
        <w:tc>
          <w:tcPr>
            <w:tcW w:type="dxa" w:w="9360"/>
            <w:tcMar>
              <w:top w:w="110" w:type="dxa"/>
              <w:start w:w="150" w:type="dxa"/>
              <w:bottom w:w="110" w:type="dxa"/>
              <w:end w:w="150" w:type="dxa"/>
            </w:tcMar>
            <w:shd w:fill="EEF4FB"/>
          </w:tcPr>
          <w:p>
            <w:r>
              <w:rPr>
                <w:rFonts w:ascii="Aptos Display" w:hAnsi="Aptos Display"/>
                <w:b/>
                <w:color w:val="B84B82"/>
                <w:sz w:val="30"/>
              </w:rPr>
              <w:t>The Night Scroller</w:t>
            </w:r>
            <w:r>
              <w:rPr>
                <w:rFonts w:ascii="Aptos" w:hAnsi="Aptos"/>
                <w:b/>
                <w:color w:val="586A86"/>
                <w:sz w:val="17"/>
              </w:rPr>
              <w:t xml:space="preserve">   n=204</w:t>
            </w:r>
          </w:p>
          <w:p>
            <w:r>
              <w:rPr>
                <w:rFonts w:ascii="Aptos" w:hAnsi="Aptos"/>
                <w:color w:val="152238"/>
                <w:sz w:val="20"/>
              </w:rPr>
              <w:t>High bedtime exposure and a self-identified doomscrolling pattern. The first intervention is environmental: reduce easy access, add a stop cue, and move the phone away from the pillow.</w:t>
            </w:r>
          </w:p>
          <w:p>
            <w:pPr>
              <w:spacing w:after="0"/>
            </w:pPr>
            <w:r>
              <w:rPr>
                <w:rFonts w:ascii="Aptos" w:hAnsi="Aptos"/>
                <w:b/>
                <w:color w:val="B84B82"/>
                <w:sz w:val="22"/>
              </w:rPr>
              <w:t xml:space="preserve">Top quartile </w:t>
            </w:r>
            <w:r>
              <w:rPr>
                <w:rFonts w:ascii="Aptos" w:hAnsi="Aptos"/>
                <w:color w:val="586A86"/>
                <w:sz w:val="17"/>
              </w:rPr>
              <w:t>bedtime screen</w:t>
            </w:r>
            <w:r>
              <w:rPr>
                <w:rFonts w:ascii="Aptos" w:hAnsi="Aptos"/>
                <w:color w:val="CBD8E8"/>
                <w:sz w:val="18"/>
              </w:rPr>
              <w:t xml:space="preserve">    |    </w:t>
            </w:r>
            <w:r>
              <w:rPr>
                <w:rFonts w:ascii="Aptos" w:hAnsi="Aptos"/>
                <w:b/>
                <w:color w:val="B84B82"/>
                <w:sz w:val="22"/>
              </w:rPr>
              <w:t xml:space="preserve">Friction </w:t>
            </w:r>
            <w:r>
              <w:rPr>
                <w:rFonts w:ascii="Aptos" w:hAnsi="Aptos"/>
                <w:color w:val="586A86"/>
                <w:sz w:val="17"/>
              </w:rPr>
              <w:t>primary lever</w:t>
            </w:r>
            <w:r>
              <w:rPr>
                <w:rFonts w:ascii="Aptos" w:hAnsi="Aptos"/>
                <w:color w:val="CBD8E8"/>
                <w:sz w:val="18"/>
              </w:rPr>
              <w:t xml:space="preserve">    |    </w:t>
            </w:r>
            <w:r>
              <w:rPr>
                <w:rFonts w:ascii="Aptos" w:hAnsi="Aptos"/>
                <w:b/>
                <w:color w:val="B84B82"/>
                <w:sz w:val="22"/>
              </w:rPr>
              <w:t xml:space="preserve">High </w:t>
            </w:r>
            <w:r>
              <w:rPr>
                <w:rFonts w:ascii="Aptos" w:hAnsi="Aptos"/>
                <w:color w:val="586A86"/>
                <w:sz w:val="17"/>
              </w:rPr>
              <w:t>sleep risk</w:t>
            </w:r>
          </w:p>
        </w:tc>
      </w:tr>
    </w:tbl>
    <w:p>
      <w:pPr>
        <w:spacing w:after="0"/>
      </w:pPr>
    </w:p>
    <w:tbl>
      <w:tblPr>
        <w:tblW w:type="dxa" w:w="9360"/>
        <w:jc w:val="left"/>
        <w:tblLayout w:type="fixed"/>
        <w:tblLook w:firstColumn="1" w:firstRow="1" w:lastColumn="0" w:lastRow="0" w:noHBand="0" w:noVBand="1" w:val="04A0"/>
        <w:tblInd w:w="120" w:type="dxa"/>
        <w:tblBorders>
          <w:top w:val="single" w:sz="10" w:color="C08B2A"/>
          <w:left w:val="single" w:sz="10" w:color="C08B2A"/>
          <w:bottom w:val="single" w:sz="10" w:color="C08B2A"/>
          <w:right w:val="single" w:sz="10" w:color="C08B2A"/>
          <w:insideH w:val="single" w:sz="10" w:color="C08B2A"/>
          <w:insideV w:val="single" w:sz="10" w:color="C08B2A"/>
        </w:tblBorders>
      </w:tblPr>
      <w:tblGrid>
        <w:gridCol w:w="9360"/>
      </w:tblGrid>
      <w:tr>
        <w:tc>
          <w:tcPr>
            <w:tcW w:type="dxa" w:w="9360"/>
            <w:tcMar>
              <w:top w:w="110" w:type="dxa"/>
              <w:start w:w="150" w:type="dxa"/>
              <w:bottom w:w="110" w:type="dxa"/>
              <w:end w:w="150" w:type="dxa"/>
            </w:tcMar>
            <w:shd w:fill="EEF4FB"/>
          </w:tcPr>
          <w:p>
            <w:r>
              <w:rPr>
                <w:rFonts w:ascii="Aptos Display" w:hAnsi="Aptos Display"/>
                <w:b/>
                <w:color w:val="C08B2A"/>
                <w:sz w:val="30"/>
              </w:rPr>
              <w:t>The Anxious News Seeker</w:t>
            </w:r>
            <w:r>
              <w:rPr>
                <w:rFonts w:ascii="Aptos" w:hAnsi="Aptos"/>
                <w:b/>
                <w:color w:val="586A86"/>
                <w:sz w:val="17"/>
              </w:rPr>
              <w:t xml:space="preserve">   n=51</w:t>
            </w:r>
          </w:p>
          <w:p>
            <w:r>
              <w:rPr>
                <w:rFonts w:ascii="Aptos" w:hAnsi="Aptos"/>
                <w:color w:val="152238"/>
                <w:sz w:val="20"/>
              </w:rPr>
              <w:t>Negative-news consumption with high anxiety and stress. The first intervention is content-aware: limit news windows, remove alerts, and replace late checking with a decompression ritual.</w:t>
            </w:r>
          </w:p>
          <w:p>
            <w:pPr>
              <w:spacing w:after="0"/>
            </w:pPr>
            <w:r>
              <w:rPr>
                <w:rFonts w:ascii="Aptos" w:hAnsi="Aptos"/>
                <w:b/>
                <w:color w:val="C08B2A"/>
                <w:sz w:val="22"/>
              </w:rPr>
              <w:t xml:space="preserve">High </w:t>
            </w:r>
            <w:r>
              <w:rPr>
                <w:rFonts w:ascii="Aptos" w:hAnsi="Aptos"/>
                <w:color w:val="586A86"/>
                <w:sz w:val="17"/>
              </w:rPr>
              <w:t>emotional load</w:t>
            </w:r>
            <w:r>
              <w:rPr>
                <w:rFonts w:ascii="Aptos" w:hAnsi="Aptos"/>
                <w:color w:val="CBD8E8"/>
                <w:sz w:val="18"/>
              </w:rPr>
              <w:t xml:space="preserve">    |    </w:t>
            </w:r>
            <w:r>
              <w:rPr>
                <w:rFonts w:ascii="Aptos" w:hAnsi="Aptos"/>
                <w:b/>
                <w:color w:val="C08B2A"/>
                <w:sz w:val="22"/>
              </w:rPr>
              <w:t xml:space="preserve">Content </w:t>
            </w:r>
            <w:r>
              <w:rPr>
                <w:rFonts w:ascii="Aptos" w:hAnsi="Aptos"/>
                <w:color w:val="586A86"/>
                <w:sz w:val="17"/>
              </w:rPr>
              <w:t>primary lever</w:t>
            </w:r>
            <w:r>
              <w:rPr>
                <w:rFonts w:ascii="Aptos" w:hAnsi="Aptos"/>
                <w:color w:val="CBD8E8"/>
                <w:sz w:val="18"/>
              </w:rPr>
              <w:t xml:space="preserve">    |    </w:t>
            </w:r>
            <w:r>
              <w:rPr>
                <w:rFonts w:ascii="Aptos" w:hAnsi="Aptos"/>
                <w:b/>
                <w:color w:val="C08B2A"/>
                <w:sz w:val="22"/>
              </w:rPr>
              <w:t xml:space="preserve">Elevated </w:t>
            </w:r>
            <w:r>
              <w:rPr>
                <w:rFonts w:ascii="Aptos" w:hAnsi="Aptos"/>
                <w:color w:val="586A86"/>
                <w:sz w:val="17"/>
              </w:rPr>
              <w:t>sleep risk</w:t>
            </w:r>
          </w:p>
        </w:tc>
      </w:tr>
    </w:tbl>
    <w:p>
      <w:pPr>
        <w:spacing w:after="0"/>
      </w:pPr>
    </w:p>
    <w:tbl>
      <w:tblPr>
        <w:tblW w:type="dxa" w:w="9360"/>
        <w:jc w:val="left"/>
        <w:tblLayout w:type="fixed"/>
        <w:tblLook w:firstColumn="1" w:firstRow="1" w:lastColumn="0" w:lastRow="0" w:noHBand="0" w:noVBand="1" w:val="04A0"/>
        <w:tblInd w:w="120" w:type="dxa"/>
        <w:tblBorders>
          <w:top w:val="single" w:sz="10" w:color="248267"/>
          <w:left w:val="single" w:sz="10" w:color="248267"/>
          <w:bottom w:val="single" w:sz="10" w:color="248267"/>
          <w:right w:val="single" w:sz="10" w:color="248267"/>
          <w:insideH w:val="single" w:sz="10" w:color="248267"/>
          <w:insideV w:val="single" w:sz="10" w:color="248267"/>
        </w:tblBorders>
      </w:tblPr>
      <w:tblGrid>
        <w:gridCol w:w="9360"/>
      </w:tblGrid>
      <w:tr>
        <w:tc>
          <w:tcPr>
            <w:tcW w:type="dxa" w:w="9360"/>
            <w:tcMar>
              <w:top w:w="110" w:type="dxa"/>
              <w:start w:w="150" w:type="dxa"/>
              <w:bottom w:w="110" w:type="dxa"/>
              <w:end w:w="150" w:type="dxa"/>
            </w:tcMar>
            <w:shd w:fill="EEF4FB"/>
          </w:tcPr>
          <w:p>
            <w:r>
              <w:rPr>
                <w:rFonts w:ascii="Aptos Display" w:hAnsi="Aptos Display"/>
                <w:b/>
                <w:color w:val="248267"/>
                <w:sz w:val="30"/>
              </w:rPr>
              <w:t>The Disciplined Sleeper</w:t>
            </w:r>
            <w:r>
              <w:rPr>
                <w:rFonts w:ascii="Aptos" w:hAnsi="Aptos"/>
                <w:b/>
                <w:color w:val="586A86"/>
                <w:sz w:val="17"/>
              </w:rPr>
              <w:t xml:space="preserve">   n=130</w:t>
            </w:r>
          </w:p>
          <w:p>
            <w:r>
              <w:rPr>
                <w:rFonts w:ascii="Aptos" w:hAnsi="Aptos"/>
                <w:color w:val="152238"/>
                <w:sz w:val="20"/>
              </w:rPr>
              <w:t>Lower bedtime exposure paired with reading or meditation/journaling. The design opportunity is maintenance: protect the routine and make the good choice the default.</w:t>
            </w:r>
          </w:p>
          <w:p>
            <w:pPr>
              <w:spacing w:after="0"/>
            </w:pPr>
            <w:r>
              <w:rPr>
                <w:rFonts w:ascii="Aptos" w:hAnsi="Aptos"/>
                <w:b/>
                <w:color w:val="248267"/>
                <w:sz w:val="22"/>
              </w:rPr>
              <w:t xml:space="preserve">Lower </w:t>
            </w:r>
            <w:r>
              <w:rPr>
                <w:rFonts w:ascii="Aptos" w:hAnsi="Aptos"/>
                <w:color w:val="586A86"/>
                <w:sz w:val="17"/>
              </w:rPr>
              <w:t>screen exposure</w:t>
            </w:r>
            <w:r>
              <w:rPr>
                <w:rFonts w:ascii="Aptos" w:hAnsi="Aptos"/>
                <w:color w:val="CBD8E8"/>
                <w:sz w:val="18"/>
              </w:rPr>
              <w:t xml:space="preserve">    |    </w:t>
            </w:r>
            <w:r>
              <w:rPr>
                <w:rFonts w:ascii="Aptos" w:hAnsi="Aptos"/>
                <w:b/>
                <w:color w:val="248267"/>
                <w:sz w:val="22"/>
              </w:rPr>
              <w:t xml:space="preserve">Routine </w:t>
            </w:r>
            <w:r>
              <w:rPr>
                <w:rFonts w:ascii="Aptos" w:hAnsi="Aptos"/>
                <w:color w:val="586A86"/>
                <w:sz w:val="17"/>
              </w:rPr>
              <w:t>primary lever</w:t>
            </w:r>
            <w:r>
              <w:rPr>
                <w:rFonts w:ascii="Aptos" w:hAnsi="Aptos"/>
                <w:color w:val="CBD8E8"/>
                <w:sz w:val="18"/>
              </w:rPr>
              <w:t xml:space="preserve">    |    </w:t>
            </w:r>
            <w:r>
              <w:rPr>
                <w:rFonts w:ascii="Aptos" w:hAnsi="Aptos"/>
                <w:b/>
                <w:color w:val="248267"/>
                <w:sz w:val="22"/>
              </w:rPr>
              <w:t xml:space="preserve">Protective </w:t>
            </w:r>
            <w:r>
              <w:rPr>
                <w:rFonts w:ascii="Aptos" w:hAnsi="Aptos"/>
                <w:color w:val="586A86"/>
                <w:sz w:val="17"/>
              </w:rPr>
              <w:t>sleep profile</w:t>
            </w:r>
          </w:p>
        </w:tc>
      </w:tr>
    </w:tbl>
    <w:p>
      <w:pPr>
        <w:spacing w:after="0"/>
      </w:pPr>
    </w:p>
    <w:p>
      <w:pPr>
        <w:keepNext/>
        <w:spacing w:before="80" w:after="40"/>
        <w:jc w:val="center"/>
      </w:pPr>
      <w:r>
        <w:drawing>
          <wp:inline xmlns:a="http://schemas.openxmlformats.org/drawingml/2006/main" xmlns:pic="http://schemas.openxmlformats.org/drawingml/2006/picture">
            <wp:extent cx="5897880" cy="2842253"/>
            <wp:docPr id="9" name="Picture 9"/>
            <wp:cNvGraphicFramePr>
              <a:graphicFrameLocks noChangeAspect="1"/>
            </wp:cNvGraphicFramePr>
            <a:graphic>
              <a:graphicData uri="http://schemas.openxmlformats.org/drawingml/2006/picture">
                <pic:pic>
                  <pic:nvPicPr>
                    <pic:cNvPr id="0" name="11_personas.png"/>
                    <pic:cNvPicPr/>
                  </pic:nvPicPr>
                  <pic:blipFill>
                    <a:blip r:embed="rId19"/>
                    <a:stretch>
                      <a:fillRect/>
                    </a:stretch>
                  </pic:blipFill>
                  <pic:spPr>
                    <a:xfrm>
                      <a:off x="0" y="0"/>
                      <a:ext cx="5897880" cy="2842253"/>
                    </a:xfrm>
                    <a:prstGeom prst="rect"/>
                  </pic:spPr>
                </pic:pic>
              </a:graphicData>
            </a:graphic>
          </wp:inline>
        </w:drawing>
      </w:r>
    </w:p>
    <w:p>
      <w:pPr>
        <w:pStyle w:val="Caption"/>
        <w:keepNext/>
        <w:jc w:val="center"/>
      </w:pPr>
      <w:r>
        <w:rPr>
          <w:rFonts w:ascii="Aptos" w:hAnsi="Aptos"/>
          <w:b/>
          <w:color w:val="586A86"/>
          <w:sz w:val="17"/>
        </w:rPr>
        <w:t xml:space="preserve">Figure 9. </w:t>
      </w:r>
      <w:r>
        <w:rPr>
          <w:rFonts w:ascii="Aptos" w:hAnsi="Aptos"/>
          <w:i/>
          <w:color w:val="586A86"/>
          <w:sz w:val="17"/>
        </w:rPr>
        <w:t>Relative persona profiles with observed metric values printed in each cell.</w:t>
      </w: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1F9EB5"/>
          </w:tcPr>
          <w:p/>
        </w:tc>
        <w:tc>
          <w:tcPr>
            <w:tcW w:type="dxa" w:w="9040"/>
            <w:tcMar>
              <w:top w:w="110" w:type="dxa"/>
              <w:start w:w="150" w:type="dxa"/>
              <w:bottom w:w="110" w:type="dxa"/>
              <w:end w:w="150" w:type="dxa"/>
            </w:tcMar>
            <w:shd w:fill="EEF4FB"/>
          </w:tcPr>
          <w:p>
            <w:pPr>
              <w:spacing w:after="40"/>
            </w:pPr>
            <w:r>
              <w:rPr>
                <w:rFonts w:ascii="Aptos" w:hAnsi="Aptos"/>
                <w:b/>
                <w:color w:val="1F9EB5"/>
                <w:sz w:val="16"/>
              </w:rPr>
              <w:t>READ THIS</w:t>
            </w:r>
          </w:p>
          <w:p>
            <w:pPr>
              <w:spacing w:after="0"/>
            </w:pPr>
            <w:r>
              <w:rPr>
                <w:rFonts w:ascii="Aptos Display" w:hAnsi="Aptos Display"/>
                <w:b/>
                <w:color w:val="152238"/>
                <w:sz w:val="25"/>
              </w:rPr>
              <w:t>Different mechanisms imply different interventions: friction for exposure, content boundaries for distress, and reinforcement for disciplined routines.</w:t>
            </w:r>
          </w:p>
        </w:tc>
      </w:tr>
    </w:tbl>
    <w:p>
      <w:pPr>
        <w:spacing w:after="0"/>
      </w:pPr>
    </w:p>
    <w:tbl>
      <w:tblPr>
        <w:tblW w:type="dxa" w:w="9360"/>
        <w:jc w:val="left"/>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tcMar>
              <w:top w:w="110" w:type="dxa"/>
              <w:start w:w="150" w:type="dxa"/>
              <w:bottom w:w="110" w:type="dxa"/>
              <w:end w:w="150" w:type="dxa"/>
            </w:tcMar>
            <w:shd w:fill="335C9F"/>
            <w:vAlign w:val="center"/>
          </w:tcPr>
          <w:p>
            <w:pPr>
              <w:jc w:val="center"/>
            </w:pPr>
            <w:r>
              <w:rPr>
                <w:rFonts w:ascii="Segoe UI Symbol" w:hAnsi="Segoe UI Symbol"/>
                <w:b/>
                <w:color w:val="FFFFFF"/>
                <w:sz w:val="34"/>
              </w:rPr>
              <w:t>∑</w:t>
            </w:r>
          </w:p>
        </w:tc>
        <w:tc>
          <w:tcPr>
            <w:tcW w:type="dxa" w:w="8710"/>
            <w:tcMar>
              <w:top w:w="110" w:type="dxa"/>
              <w:start w:w="150" w:type="dxa"/>
              <w:bottom w:w="110" w:type="dxa"/>
              <w:end w:w="150" w:type="dxa"/>
            </w:tcMar>
            <w:shd w:fill="EEF4FB"/>
          </w:tcPr>
          <w:p>
            <w:r>
              <w:rPr>
                <w:rFonts w:ascii="Aptos Display" w:hAnsi="Aptos Display"/>
                <w:b/>
                <w:color w:val="152238"/>
                <w:sz w:val="34"/>
              </w:rPr>
              <w:t>Synthesis</w:t>
            </w:r>
          </w:p>
          <w:p>
            <w:pPr>
              <w:spacing w:before="20" w:after="0"/>
            </w:pPr>
            <w:r>
              <w:rPr>
                <w:rFonts w:ascii="Aptos" w:hAnsi="Aptos"/>
                <w:color w:val="586A86"/>
                <w:sz w:val="18"/>
              </w:rPr>
              <w:t>Q9  |  Correlation structure and predictive ranking</w:t>
            </w:r>
          </w:p>
        </w:tc>
      </w:tr>
    </w:tbl>
    <w:p>
      <w:pPr>
        <w:spacing w:after="20"/>
      </w:pPr>
    </w:p>
    <w:p>
      <w:pPr>
        <w:widowControl/>
      </w:pPr>
      <w:r>
        <w:rPr>
          <w:rFonts w:ascii="Aptos" w:hAnsi="Aptos"/>
          <w:color w:val="152238"/>
        </w:rPr>
        <w:t>The correlation structure resembles a bedtime-disruption chain. Exposure relates to latency; latency, wakeups, and shorter sleep accumulate into debt and fatigue. The same coherence that makes the story understandable also heightens the synthetic-data caveat: multiple variables may have been jointly generated around one latent disruption score.</w:t>
      </w:r>
    </w:p>
    <w:p>
      <w:pPr>
        <w:keepNext/>
        <w:spacing w:before="80" w:after="40"/>
        <w:jc w:val="center"/>
      </w:pPr>
      <w:r>
        <w:drawing>
          <wp:inline xmlns:a="http://schemas.openxmlformats.org/drawingml/2006/main" xmlns:pic="http://schemas.openxmlformats.org/drawingml/2006/picture">
            <wp:extent cx="5897880" cy="4971684"/>
            <wp:docPr id="10" name="Picture 10"/>
            <wp:cNvGraphicFramePr>
              <a:graphicFrameLocks noChangeAspect="1"/>
            </wp:cNvGraphicFramePr>
            <a:graphic>
              <a:graphicData uri="http://schemas.openxmlformats.org/drawingml/2006/picture">
                <pic:pic>
                  <pic:nvPicPr>
                    <pic:cNvPr id="0" name="12_correlation_heatmap.png"/>
                    <pic:cNvPicPr/>
                  </pic:nvPicPr>
                  <pic:blipFill>
                    <a:blip r:embed="rId20"/>
                    <a:stretch>
                      <a:fillRect/>
                    </a:stretch>
                  </pic:blipFill>
                  <pic:spPr>
                    <a:xfrm>
                      <a:off x="0" y="0"/>
                      <a:ext cx="5897880" cy="4971684"/>
                    </a:xfrm>
                    <a:prstGeom prst="rect"/>
                  </pic:spPr>
                </pic:pic>
              </a:graphicData>
            </a:graphic>
          </wp:inline>
        </w:drawing>
      </w:r>
    </w:p>
    <w:p>
      <w:pPr>
        <w:pStyle w:val="Caption"/>
        <w:keepNext/>
        <w:jc w:val="center"/>
      </w:pPr>
      <w:r>
        <w:rPr>
          <w:rFonts w:ascii="Aptos" w:hAnsi="Aptos"/>
          <w:b/>
          <w:color w:val="586A86"/>
          <w:sz w:val="17"/>
        </w:rPr>
        <w:t xml:space="preserve">Figure 10. </w:t>
      </w:r>
      <w:r>
        <w:rPr>
          <w:rFonts w:ascii="Aptos" w:hAnsi="Aptos"/>
          <w:i/>
          <w:color w:val="586A86"/>
          <w:sz w:val="17"/>
        </w:rPr>
        <w:t>Pearson correlations among selected behavioral, sleep, and wellbeing measures.</w:t>
      </w: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1F9EB5"/>
          </w:tcPr>
          <w:p/>
        </w:tc>
        <w:tc>
          <w:tcPr>
            <w:tcW w:type="dxa" w:w="9040"/>
            <w:tcMar>
              <w:top w:w="110" w:type="dxa"/>
              <w:start w:w="150" w:type="dxa"/>
              <w:bottom w:w="110" w:type="dxa"/>
              <w:end w:w="150" w:type="dxa"/>
            </w:tcMar>
            <w:shd w:fill="EEF4FB"/>
          </w:tcPr>
          <w:p>
            <w:pPr>
              <w:spacing w:after="40"/>
            </w:pPr>
            <w:r>
              <w:rPr>
                <w:rFonts w:ascii="Aptos" w:hAnsi="Aptos"/>
                <w:b/>
                <w:color w:val="1F9EB5"/>
                <w:sz w:val="16"/>
              </w:rPr>
              <w:t>READ THIS</w:t>
            </w:r>
          </w:p>
          <w:p>
            <w:pPr>
              <w:spacing w:after="0"/>
            </w:pPr>
            <w:r>
              <w:rPr>
                <w:rFonts w:ascii="Aptos Display" w:hAnsi="Aptos Display"/>
                <w:b/>
                <w:color w:val="152238"/>
                <w:sz w:val="25"/>
              </w:rPr>
              <w:t>Bedtime screen time, doomscroll sessions, and latency form the strongest exposure cluster; sleep duration moves opposite sleep debt.</w:t>
            </w:r>
          </w:p>
        </w:tc>
      </w:tr>
    </w:tbl>
    <w:p>
      <w:pPr>
        <w:spacing w:after="0"/>
      </w:pPr>
    </w:p>
    <w:p>
      <w:pPr>
        <w:spacing w:before="80" w:after="60"/>
      </w:pPr>
      <w:r>
        <w:rPr>
          <w:rFonts w:ascii="Aptos" w:hAnsi="Aptos"/>
          <w:b/>
          <w:caps/>
          <w:color w:val="335C9F"/>
          <w:sz w:val="17"/>
        </w:rPr>
        <w:t>PREDICTIVE VIEW</w:t>
      </w:r>
    </w:p>
    <w:p>
      <w:pPr>
        <w:pStyle w:val="Heading1"/>
      </w:pPr>
      <w:r>
        <w:t>The behavior label leads; the night’s mechanics follow</w:t>
      </w:r>
    </w:p>
    <w:p>
      <w:pPr>
        <w:widowControl/>
      </w:pPr>
      <w:r>
        <w:rPr>
          <w:rFonts w:ascii="Aptos" w:hAnsi="Aptos"/>
          <w:color w:val="152238"/>
        </w:rPr>
        <w:t>A random-forest classifier evaluated with five-fold cross-validation reaches 60.3% balanced accuracy against a 34.0% majority-class baseline. Permutation importance is computed out of fold and grouped at the original feature level. The outcome-adjacent sleep_quality_score is excluded to avoid construct-overlap leakage.</w:t>
      </w:r>
    </w:p>
    <w:p>
      <w:pPr>
        <w:keepNext/>
        <w:spacing w:before="80" w:after="40"/>
        <w:jc w:val="center"/>
      </w:pPr>
      <w:r>
        <w:drawing>
          <wp:inline xmlns:a="http://schemas.openxmlformats.org/drawingml/2006/main" xmlns:pic="http://schemas.openxmlformats.org/drawingml/2006/picture">
            <wp:extent cx="5897880" cy="3057961"/>
            <wp:docPr id="11" name="Picture 11"/>
            <wp:cNvGraphicFramePr>
              <a:graphicFrameLocks noChangeAspect="1"/>
            </wp:cNvGraphicFramePr>
            <a:graphic>
              <a:graphicData uri="http://schemas.openxmlformats.org/drawingml/2006/picture">
                <pic:pic>
                  <pic:nvPicPr>
                    <pic:cNvPr id="0" name="13_feature_importance.png"/>
                    <pic:cNvPicPr/>
                  </pic:nvPicPr>
                  <pic:blipFill>
                    <a:blip r:embed="rId21"/>
                    <a:stretch>
                      <a:fillRect/>
                    </a:stretch>
                  </pic:blipFill>
                  <pic:spPr>
                    <a:xfrm>
                      <a:off x="0" y="0"/>
                      <a:ext cx="5897880" cy="3057961"/>
                    </a:xfrm>
                    <a:prstGeom prst="rect"/>
                  </pic:spPr>
                </pic:pic>
              </a:graphicData>
            </a:graphic>
          </wp:inline>
        </w:drawing>
      </w:r>
    </w:p>
    <w:p>
      <w:pPr>
        <w:pStyle w:val="Caption"/>
        <w:keepNext/>
        <w:jc w:val="center"/>
      </w:pPr>
      <w:r>
        <w:rPr>
          <w:rFonts w:ascii="Aptos" w:hAnsi="Aptos"/>
          <w:b/>
          <w:color w:val="586A86"/>
          <w:sz w:val="17"/>
        </w:rPr>
        <w:t xml:space="preserve">Figure 11. </w:t>
      </w:r>
      <w:r>
        <w:rPr>
          <w:rFonts w:ascii="Aptos" w:hAnsi="Aptos"/>
          <w:i/>
          <w:color w:val="586A86"/>
          <w:sz w:val="17"/>
        </w:rPr>
        <w:t>Cross-validated permutation importance for predicting sleep-quality category.</w:t>
      </w: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1F9EB5"/>
          </w:tcPr>
          <w:p/>
        </w:tc>
        <w:tc>
          <w:tcPr>
            <w:tcW w:type="dxa" w:w="9040"/>
            <w:tcMar>
              <w:top w:w="110" w:type="dxa"/>
              <w:start w:w="150" w:type="dxa"/>
              <w:bottom w:w="110" w:type="dxa"/>
              <w:end w:w="150" w:type="dxa"/>
            </w:tcMar>
            <w:shd w:fill="EEF4FB"/>
          </w:tcPr>
          <w:p>
            <w:pPr>
              <w:spacing w:after="40"/>
            </w:pPr>
            <w:r>
              <w:rPr>
                <w:rFonts w:ascii="Aptos" w:hAnsi="Aptos"/>
                <w:b/>
                <w:color w:val="1F9EB5"/>
                <w:sz w:val="16"/>
              </w:rPr>
              <w:t>READ THIS</w:t>
            </w:r>
          </w:p>
          <w:p>
            <w:pPr>
              <w:spacing w:after="0"/>
            </w:pPr>
            <w:r>
              <w:rPr>
                <w:rFonts w:ascii="Aptos Display" w:hAnsi="Aptos Display"/>
                <w:b/>
                <w:color w:val="152238"/>
                <w:sz w:val="25"/>
              </w:rPr>
              <w:t>The doomscroller label leads, followed by wakeups, sleep duration, sleep debt, and latency; correlated exposure variables divide their shared signal.</w:t>
            </w:r>
          </w:p>
        </w:tc>
      </w:tr>
    </w:tbl>
    <w:p>
      <w:pPr>
        <w:spacing w:after="0"/>
      </w:pP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335C9F"/>
          </w:tcPr>
          <w:p/>
        </w:tc>
        <w:tc>
          <w:tcPr>
            <w:tcW w:type="dxa" w:w="9040"/>
            <w:tcMar>
              <w:top w:w="110" w:type="dxa"/>
              <w:start w:w="150" w:type="dxa"/>
              <w:bottom w:w="110" w:type="dxa"/>
              <w:end w:w="150" w:type="dxa"/>
            </w:tcMar>
            <w:shd w:fill="EEF4FB"/>
          </w:tcPr>
          <w:p>
            <w:pPr>
              <w:spacing w:after="40"/>
            </w:pPr>
            <w:r>
              <w:rPr>
                <w:rFonts w:ascii="Aptos" w:hAnsi="Aptos"/>
                <w:b/>
                <w:color w:val="335C9F"/>
                <w:sz w:val="16"/>
              </w:rPr>
              <w:t>MODEL BOUNDARY</w:t>
            </w:r>
          </w:p>
          <w:p>
            <w:pPr>
              <w:spacing w:after="0"/>
            </w:pPr>
            <w:r>
              <w:rPr>
                <w:rFonts w:ascii="Aptos Display" w:hAnsi="Aptos Display"/>
                <w:b/>
                <w:color w:val="152238"/>
                <w:sz w:val="25"/>
              </w:rPr>
              <w:t>Prediction ranks signals; it does not identify causes, prescribe treatment, or validate the survey against real-world prevalence.</w:t>
            </w:r>
          </w:p>
        </w:tc>
      </w:tr>
    </w:tbl>
    <w:p>
      <w:pPr>
        <w:spacing w:after="0"/>
      </w:pPr>
    </w:p>
    <w:tbl>
      <w:tblPr>
        <w:tblW w:type="dxa" w:w="9360"/>
        <w:jc w:val="left"/>
        <w:tblLayout w:type="fixed"/>
        <w:tblLook w:firstColumn="1" w:firstRow="1" w:lastColumn="0" w:lastRow="0" w:noHBand="0" w:noVBand="1" w:val="04A0"/>
        <w:tblInd w:w="120" w:type="dxa"/>
        <w:tblBorders>
          <w:top w:val="single" w:sz="0" w:color="FFFFFF"/>
          <w:left w:val="single" w:sz="0" w:color="FFFFFF"/>
          <w:bottom w:val="single" w:sz="0" w:color="FFFFFF"/>
          <w:right w:val="single" w:sz="0" w:color="FFFFFF"/>
          <w:insideH w:val="single" w:sz="0" w:color="FFFFFF"/>
          <w:insideV w:val="single" w:sz="0" w:color="FFFFFF"/>
        </w:tblBorders>
      </w:tblPr>
      <w:tblGrid>
        <w:gridCol w:w="650"/>
        <w:gridCol w:w="8710"/>
      </w:tblGrid>
      <w:tr>
        <w:tc>
          <w:tcPr>
            <w:tcW w:type="dxa" w:w="650"/>
            <w:tcMar>
              <w:top w:w="110" w:type="dxa"/>
              <w:start w:w="150" w:type="dxa"/>
              <w:bottom w:w="110" w:type="dxa"/>
              <w:end w:w="150" w:type="dxa"/>
            </w:tcMar>
            <w:shd w:fill="248267"/>
            <w:vAlign w:val="center"/>
          </w:tcPr>
          <w:p>
            <w:pPr>
              <w:jc w:val="center"/>
            </w:pPr>
            <w:r>
              <w:rPr>
                <w:rFonts w:ascii="Segoe UI Symbol" w:hAnsi="Segoe UI Symbol"/>
                <w:b/>
                <w:color w:val="FFFFFF"/>
                <w:sz w:val="34"/>
              </w:rPr>
              <w:t>✓</w:t>
            </w:r>
          </w:p>
        </w:tc>
        <w:tc>
          <w:tcPr>
            <w:tcW w:type="dxa" w:w="8710"/>
            <w:tcMar>
              <w:top w:w="110" w:type="dxa"/>
              <w:start w:w="150" w:type="dxa"/>
              <w:bottom w:w="110" w:type="dxa"/>
              <w:end w:w="150" w:type="dxa"/>
            </w:tcMar>
            <w:shd w:fill="EEF4FB"/>
          </w:tcPr>
          <w:p>
            <w:r>
              <w:rPr>
                <w:rFonts w:ascii="Aptos Display" w:hAnsi="Aptos Display"/>
                <w:b/>
                <w:color w:val="152238"/>
                <w:sz w:val="34"/>
              </w:rPr>
              <w:t>Conclusion &amp; practical takeaways</w:t>
            </w:r>
          </w:p>
          <w:p>
            <w:pPr>
              <w:spacing w:before="20" w:after="0"/>
            </w:pPr>
            <w:r>
              <w:rPr>
                <w:rFonts w:ascii="Aptos" w:hAnsi="Aptos"/>
                <w:color w:val="586A86"/>
                <w:sz w:val="18"/>
              </w:rPr>
              <w:t>A sequence for testing, not a medical prescription</w:t>
            </w:r>
          </w:p>
        </w:tc>
      </w:tr>
    </w:tbl>
    <w:p>
      <w:pPr>
        <w:spacing w:after="20"/>
      </w:pPr>
    </w:p>
    <w:p>
      <w:pPr>
        <w:widowControl/>
      </w:pPr>
      <w:r>
        <w:rPr>
          <w:rFonts w:ascii="Aptos" w:hAnsi="Aptos"/>
          <w:color w:val="152238"/>
        </w:rPr>
        <w:t>The most defensible conclusion is not that every minute of scrolling destroys sleep. It is that a repeatable bedtime-disruption pattern—longer exposure, more checking, delayed sleep, more wakeups, and accumulated debt—appears throughout the data. Practical action should therefore target the chain rather than moralize the behavior.</w:t>
      </w:r>
    </w:p>
    <w:p>
      <w:pPr>
        <w:pStyle w:val="ListBullet"/>
        <w:spacing w:after="120"/>
        <w:ind w:left="720" w:hanging="360"/>
      </w:pPr>
      <w:r>
        <w:rPr>
          <w:rFonts w:ascii="Aptos" w:hAnsi="Aptos"/>
          <w:color w:val="152238"/>
          <w:sz w:val="21"/>
        </w:rPr>
        <w:t>Create friction before bedtime: charge the phone outside the bedroom or beyond arm’s reach.</w:t>
      </w:r>
    </w:p>
    <w:p>
      <w:pPr>
        <w:pStyle w:val="ListBullet"/>
        <w:spacing w:after="120"/>
        <w:ind w:left="720" w:hanging="360"/>
      </w:pPr>
      <w:r>
        <w:rPr>
          <w:rFonts w:ascii="Aptos" w:hAnsi="Aptos"/>
          <w:color w:val="152238"/>
          <w:sz w:val="21"/>
        </w:rPr>
        <w:t>Replace, do not merely remove: choose a fixed reading, meditation, or journaling routine for the final 20–30 minutes.</w:t>
      </w:r>
    </w:p>
    <w:p>
      <w:pPr>
        <w:pStyle w:val="ListBullet"/>
        <w:spacing w:after="120"/>
        <w:ind w:left="720" w:hanging="360"/>
      </w:pPr>
      <w:r>
        <w:rPr>
          <w:rFonts w:ascii="Aptos" w:hAnsi="Aptos"/>
          <w:color w:val="152238"/>
          <w:sz w:val="21"/>
        </w:rPr>
        <w:t>Treat negative news as a separate lever: use scheduled news windows and disable late alerts.</w:t>
      </w:r>
    </w:p>
    <w:p>
      <w:pPr>
        <w:pStyle w:val="ListBullet"/>
        <w:spacing w:after="120"/>
        <w:ind w:left="720" w:hanging="360"/>
      </w:pPr>
      <w:r>
        <w:rPr>
          <w:rFonts w:ascii="Aptos" w:hAnsi="Aptos"/>
          <w:color w:val="152238"/>
          <w:sz w:val="21"/>
        </w:rPr>
        <w:t>Protect daytime movement: aim for a consistent exercise habit without expecting it to offset severe nighttime disruption.</w:t>
      </w:r>
    </w:p>
    <w:p>
      <w:pPr>
        <w:pStyle w:val="ListBullet"/>
        <w:spacing w:after="120"/>
        <w:ind w:left="720" w:hanging="360"/>
      </w:pPr>
      <w:r>
        <w:rPr>
          <w:rFonts w:ascii="Aptos" w:hAnsi="Aptos"/>
          <w:color w:val="152238"/>
          <w:sz w:val="21"/>
        </w:rPr>
        <w:t>Track latency, wakeups, and weekly debt—not only total screen time—to see whether an intervention changes sleep mechanics.</w:t>
      </w:r>
    </w:p>
    <w:p>
      <w:pPr>
        <w:pStyle w:val="ListBullet"/>
        <w:spacing w:after="120"/>
        <w:ind w:left="720" w:hanging="360"/>
      </w:pPr>
      <w:r>
        <w:rPr>
          <w:rFonts w:ascii="Aptos" w:hAnsi="Aptos"/>
          <w:color w:val="152238"/>
          <w:sz w:val="21"/>
        </w:rPr>
        <w:t>Test by persona: exposure-heavy users need friction, distress-heavy users need content boundaries, and disciplined sleepers need maintenance cues.</w:t>
      </w:r>
    </w:p>
    <w:tbl>
      <w:tblPr>
        <w:tblW w:type="dxa" w:w="9360"/>
        <w:jc w:val="left"/>
        <w:tblLayout w:type="fixed"/>
        <w:tblLook w:firstColumn="1" w:firstRow="1" w:lastColumn="0" w:lastRow="0" w:noHBand="0" w:noVBand="1" w:val="04A0"/>
        <w:tblInd w:w="120" w:type="dxa"/>
        <w:tblBorders>
          <w:top w:val="single" w:sz="0" w:color="EEF4FB"/>
          <w:left w:val="single" w:sz="0" w:color="EEF4FB"/>
          <w:bottom w:val="single" w:sz="0" w:color="EEF4FB"/>
          <w:right w:val="single" w:sz="0" w:color="EEF4FB"/>
          <w:insideH w:val="single" w:sz="0" w:color="EEF4FB"/>
          <w:insideV w:val="single" w:sz="0" w:color="EEF4FB"/>
        </w:tblBorders>
      </w:tblPr>
      <w:tblGrid>
        <w:gridCol w:w="320"/>
        <w:gridCol w:w="9040"/>
      </w:tblGrid>
      <w:tr>
        <w:tc>
          <w:tcPr>
            <w:tcW w:type="dxa" w:w="320"/>
            <w:tcMar>
              <w:top w:w="110" w:type="dxa"/>
              <w:start w:w="150" w:type="dxa"/>
              <w:bottom w:w="110" w:type="dxa"/>
              <w:end w:w="150" w:type="dxa"/>
            </w:tcMar>
            <w:shd w:fill="248267"/>
          </w:tcPr>
          <w:p/>
        </w:tc>
        <w:tc>
          <w:tcPr>
            <w:tcW w:type="dxa" w:w="9040"/>
            <w:tcMar>
              <w:top w:w="110" w:type="dxa"/>
              <w:start w:w="150" w:type="dxa"/>
              <w:bottom w:w="110" w:type="dxa"/>
              <w:end w:w="150" w:type="dxa"/>
            </w:tcMar>
            <w:shd w:fill="EEF4FB"/>
          </w:tcPr>
          <w:p>
            <w:pPr>
              <w:spacing w:after="40"/>
            </w:pPr>
            <w:r>
              <w:rPr>
                <w:rFonts w:ascii="Aptos" w:hAnsi="Aptos"/>
                <w:b/>
                <w:color w:val="248267"/>
                <w:sz w:val="16"/>
              </w:rPr>
              <w:t>BEST NEXT TEST</w:t>
            </w:r>
          </w:p>
          <w:p>
            <w:pPr>
              <w:spacing w:after="0"/>
            </w:pPr>
            <w:r>
              <w:rPr>
                <w:rFonts w:ascii="Aptos Display" w:hAnsi="Aptos Display"/>
                <w:b/>
                <w:color w:val="152238"/>
                <w:sz w:val="25"/>
              </w:rPr>
              <w:t>A two-week phone-outside-bedroom experiment with a fixed replacement routine and daily latency tracking.</w:t>
            </w:r>
          </w:p>
        </w:tc>
      </w:tr>
    </w:tbl>
    <w:p>
      <w:pPr>
        <w:spacing w:after="0"/>
      </w:pPr>
    </w:p>
    <w:p>
      <w:pPr>
        <w:pStyle w:val="Heading1"/>
      </w:pPr>
      <w:r>
        <w:t>Limitations</w:t>
      </w:r>
    </w:p>
    <w:p>
      <w:pPr>
        <w:pStyle w:val="ListBullet"/>
        <w:spacing w:after="120"/>
        <w:ind w:left="720" w:hanging="360"/>
      </w:pPr>
      <w:r>
        <w:rPr>
          <w:rFonts w:ascii="Aptos" w:hAnsi="Aptos"/>
          <w:color w:val="152238"/>
          <w:sz w:val="21"/>
        </w:rPr>
        <w:t>The dataset appears synthetic or simulation-assisted: target classes are unusually balanced, relationships are unusually clean, and valid sleep-quality scores are heavily concentrated at 5/5.</w:t>
      </w:r>
    </w:p>
    <w:p>
      <w:pPr>
        <w:pStyle w:val="ListBullet"/>
        <w:spacing w:after="120"/>
        <w:ind w:left="720" w:hanging="360"/>
      </w:pPr>
      <w:r>
        <w:rPr>
          <w:rFonts w:ascii="Aptos" w:hAnsi="Aptos"/>
          <w:color w:val="152238"/>
          <w:sz w:val="21"/>
        </w:rPr>
        <w:t>The design is cross-sectional and self-reported; temporal direction and causal effects cannot be established.</w:t>
      </w:r>
    </w:p>
    <w:p>
      <w:pPr>
        <w:pStyle w:val="ListBullet"/>
        <w:spacing w:after="120"/>
        <w:ind w:left="720" w:hanging="360"/>
      </w:pPr>
      <w:r>
        <w:rPr>
          <w:rFonts w:ascii="Aptos" w:hAnsi="Aptos"/>
          <w:color w:val="152238"/>
          <w:sz w:val="21"/>
        </w:rPr>
        <w:t>Median imputation and an Unknown category preserve all 1,000 records but can attenuate or redistribute associations.</w:t>
      </w:r>
    </w:p>
    <w:p>
      <w:pPr>
        <w:pStyle w:val="ListBullet"/>
        <w:spacing w:after="120"/>
        <w:ind w:left="720" w:hanging="360"/>
      </w:pPr>
      <w:r>
        <w:rPr>
          <w:rFonts w:ascii="Aptos" w:hAnsi="Aptos"/>
          <w:color w:val="152238"/>
          <w:sz w:val="21"/>
        </w:rPr>
        <w:t>Some subgroup cells—especially the good-sleep heavy-scroller exception group—are small and should be treated as exploratory.</w:t>
      </w:r>
    </w:p>
    <w:p>
      <w:pPr>
        <w:pStyle w:val="ListBullet"/>
        <w:spacing w:after="120"/>
        <w:ind w:left="720" w:hanging="360"/>
      </w:pPr>
      <w:r>
        <w:rPr>
          <w:rFonts w:ascii="Aptos" w:hAnsi="Aptos"/>
          <w:color w:val="152238"/>
          <w:sz w:val="21"/>
        </w:rPr>
        <w:t>Sleep-quality category is a coarse target. The model excludes sleep_quality_score to reduce direct construct overlap, but other sleep variables remain outcome-adjacent by design.</w:t>
      </w:r>
    </w:p>
    <w:p>
      <w:pPr>
        <w:pStyle w:val="ListBullet"/>
        <w:spacing w:after="120"/>
        <w:ind w:left="720" w:hanging="360"/>
      </w:pPr>
      <w:r>
        <w:rPr>
          <w:rFonts w:ascii="Aptos" w:hAnsi="Aptos"/>
          <w:color w:val="152238"/>
          <w:sz w:val="21"/>
        </w:rPr>
        <w:t>Country and gender comparisons are descriptive only; unequal sample sizes and unmeasured social context prevent broad generalization.</w:t>
      </w:r>
    </w:p>
    <w:p>
      <w:pPr>
        <w:pStyle w:val="Heading2"/>
      </w:pPr>
      <w:r>
        <w:t>Method in brief</w:t>
      </w:r>
    </w:p>
    <w:p>
      <w:pPr>
        <w:widowControl/>
      </w:pPr>
      <w:r>
        <w:rPr>
          <w:rFonts w:ascii="Aptos" w:hAnsi="Aptos"/>
          <w:color w:val="152238"/>
        </w:rPr>
        <w:t>The workflow validated IDs, dtypes, missingness, ranges, and potential formulaic relationships; created age buckets; compared groups and quartiles; defined exception and persona rules; visualized correlations; and evaluated a random-forest classifier with stratified five-fold cross-validation. Full executable detail, code, outputs, and figure takeaways are in sleep_doomscrolling_analysis.ipynb.</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86A86"/>
        <w:sz w:val="16"/>
      </w:rPr>
      <w:t>Night Signals Report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ptos" w:hAnsi="Aptos"/>
        <w:b/>
        <w:caps/>
        <w:color w:val="586A86"/>
        <w:sz w:val="16"/>
      </w:rPr>
      <w:t>SLEEP × DOOMSCROLLING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ptos" w:hAnsi="Aptos"/>
      <w:color w:val="152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335C9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335C9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7259B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pPr>
    <w:rPr>
      <w:rFonts w:ascii="Aptos" w:hAnsi="Aptos"/>
      <w:b/>
      <w:bCs/>
      <w:i/>
      <w:color w:val="586A86"/>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