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488"/>
      </w:tblGrid>
      <w:tr>
        <w:tc>
          <w:tcPr>
            <w:tcW w:type="dxa" w:w="10488"/>
            <w:shd w:fill="0E2F4F"/>
            <w:tcMar>
              <w:top w:w="150" w:type="dxa"/>
              <w:start w:w="140" w:type="dxa"/>
              <w:bottom w:w="135" w:type="dxa"/>
              <w:end w:w="140" w:type="dxa"/>
            </w:tcMar>
          </w:tcPr>
          <w:p>
            <w:pPr>
              <w:spacing w:after="20" w:before="0"/>
            </w:pPr>
            <w:r>
              <w:rPr>
                <w:rFonts w:ascii="Aptos" w:hAnsi="Aptos"/>
                <w:b/>
                <w:color w:val="FFFFFF"/>
                <w:sz w:val="42"/>
              </w:rPr>
              <w:t>SAI HAN MYO SHANE</w:t>
            </w:r>
          </w:p>
          <w:p>
            <w:pPr>
              <w:spacing w:after="100"/>
            </w:pPr>
            <w:r>
              <w:rPr>
                <w:rFonts w:ascii="Aptos" w:hAnsi="Aptos"/>
                <w:color w:val="DDE7EF"/>
                <w:sz w:val="22"/>
              </w:rPr>
              <w:t>(Junaid Wong)</w:t>
            </w:r>
          </w:p>
          <w:p>
            <w:pPr>
              <w:spacing w:after="100"/>
            </w:pPr>
            <w:r>
              <w:rPr>
                <w:rFonts w:ascii="Aptos" w:hAnsi="Aptos"/>
                <w:b/>
                <w:color w:val="D6A000"/>
                <w:sz w:val="21"/>
              </w:rPr>
              <w:t>RESEARCH &amp; TECHNICAL CV</w:t>
            </w:r>
          </w:p>
          <w:p>
            <w:pPr>
              <w:spacing w:after="100"/>
            </w:pPr>
            <w:r>
              <w:rPr>
                <w:rFonts w:ascii="Aptos" w:hAnsi="Aptos"/>
                <w:color w:val="DDE7EF"/>
                <w:sz w:val="17"/>
              </w:rPr>
              <w:t>LLM Research | AI Evaluation | Cybersecurity | STEM</w:t>
            </w:r>
          </w:p>
          <w:p>
            <w:pPr>
              <w:spacing w:after="0"/>
              <w:jc w:val="center"/>
            </w:pPr>
            <w:r>
              <w:rPr>
                <w:rFonts w:ascii="Aptos" w:hAnsi="Aptos"/>
                <w:color w:val="DDE7EF"/>
                <w:sz w:val="15"/>
              </w:rPr>
              <w:t xml:space="preserve">Yangon, Myanmar  |  </w:t>
            </w:r>
            <w:r>
              <w:rPr>
                <w:rFonts w:ascii="Aptos" w:hAnsi="Aptos"/>
                <w:color w:val="DDE7EF"/>
                <w:sz w:val="15"/>
              </w:rPr>
              <w:t>junaidnacoda@gmail.com</w:t>
            </w:r>
            <w:r>
              <w:rPr>
                <w:rFonts w:ascii="Aptos" w:hAnsi="Aptos"/>
                <w:color w:val="DDE7EF"/>
                <w:sz w:val="15"/>
              </w:rPr>
              <w:t xml:space="preserve">  |  </w:t>
            </w:r>
            <w:r>
              <w:rPr>
                <w:rFonts w:ascii="Aptos" w:hAnsi="Aptos"/>
                <w:color w:val="DDE7EF"/>
                <w:sz w:val="15"/>
              </w:rPr>
              <w:t>sai-han-myo-shane-portfolio.vercel.app</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05"/>
        <w:gridCol w:w="7370"/>
      </w:tblGrid>
      <w:tr>
        <w:tc>
          <w:tcPr>
            <w:tcW w:type="dxa" w:w="3005"/>
            <w:shd w:fill="EEF3F7"/>
            <w:tcMar>
              <w:top w:w="100" w:type="dxa"/>
              <w:start w:w="120" w:type="dxa"/>
              <w:bottom w:w="90" w:type="dxa"/>
              <w:end w:w="120" w:type="dxa"/>
            </w:tcMar>
            <w:tcBorders>
              <w:right w:val="nil"/>
            </w:tcBorders>
          </w:tcPr>
          <w:p>
            <w:pPr>
              <w:spacing w:after="0" w:before="0"/>
            </w:pPr>
          </w:p>
          <w:p>
            <w:pPr>
              <w:spacing w:before="100" w:after="60"/>
            </w:pPr>
            <w:r>
              <w:rPr>
                <w:rFonts w:ascii="Aptos" w:hAnsi="Aptos"/>
                <w:b/>
                <w:color w:val="0E2F4F"/>
                <w:sz w:val="19"/>
              </w:rPr>
              <w:t>RESEARCH INTERESTS</w:t>
            </w:r>
          </w:p>
          <w:p>
            <w:pPr>
              <w:spacing w:after="32" w:line="250" w:lineRule="auto"/>
              <w:ind w:left="245" w:hanging="115"/>
            </w:pPr>
            <w:r>
              <w:rPr>
                <w:rFonts w:ascii="Aptos" w:hAnsi="Aptos"/>
                <w:b w:val="0"/>
                <w:color w:val="0E2F4F"/>
                <w:sz w:val="16"/>
              </w:rPr>
              <w:t xml:space="preserve">●  </w:t>
            </w:r>
            <w:r>
              <w:rPr>
                <w:rFonts w:ascii="Aptos" w:hAnsi="Aptos"/>
                <w:color w:val="24394D"/>
                <w:sz w:val="16"/>
              </w:rPr>
              <w:t>LLM reasoning, evaluation and benchmarking</w:t>
            </w:r>
          </w:p>
          <w:p>
            <w:pPr>
              <w:spacing w:after="32" w:line="250" w:lineRule="auto"/>
              <w:ind w:left="245" w:hanging="115"/>
            </w:pPr>
            <w:r>
              <w:rPr>
                <w:rFonts w:ascii="Aptos" w:hAnsi="Aptos"/>
                <w:b w:val="0"/>
                <w:color w:val="0E2F4F"/>
                <w:sz w:val="16"/>
              </w:rPr>
              <w:t xml:space="preserve">●  </w:t>
            </w:r>
            <w:r>
              <w:rPr>
                <w:rFonts w:ascii="Aptos" w:hAnsi="Aptos"/>
                <w:color w:val="24394D"/>
                <w:sz w:val="16"/>
              </w:rPr>
              <w:t>Uncertainty, calibration and robustness</w:t>
            </w:r>
          </w:p>
          <w:p>
            <w:pPr>
              <w:spacing w:after="32" w:line="250" w:lineRule="auto"/>
              <w:ind w:left="245" w:hanging="115"/>
            </w:pPr>
            <w:r>
              <w:rPr>
                <w:rFonts w:ascii="Aptos" w:hAnsi="Aptos"/>
                <w:b w:val="0"/>
                <w:color w:val="0E2F4F"/>
                <w:sz w:val="16"/>
              </w:rPr>
              <w:t xml:space="preserve">●  </w:t>
            </w:r>
            <w:r>
              <w:rPr>
                <w:rFonts w:ascii="Aptos" w:hAnsi="Aptos"/>
                <w:color w:val="24394D"/>
                <w:sz w:val="16"/>
              </w:rPr>
              <w:t>AI safety and trustworthy AI</w:t>
            </w:r>
          </w:p>
          <w:p>
            <w:pPr>
              <w:spacing w:after="32" w:line="250" w:lineRule="auto"/>
              <w:ind w:left="245" w:hanging="115"/>
            </w:pPr>
            <w:r>
              <w:rPr>
                <w:rFonts w:ascii="Aptos" w:hAnsi="Aptos"/>
                <w:b w:val="0"/>
                <w:color w:val="0E2F4F"/>
                <w:sz w:val="16"/>
              </w:rPr>
              <w:t xml:space="preserve">●  </w:t>
            </w:r>
            <w:r>
              <w:rPr>
                <w:rFonts w:ascii="Aptos" w:hAnsi="Aptos"/>
                <w:color w:val="24394D"/>
                <w:sz w:val="16"/>
              </w:rPr>
              <w:t>Failure analysis and evaluation methodology</w:t>
            </w:r>
          </w:p>
          <w:p>
            <w:pPr>
              <w:spacing w:after="32" w:line="250" w:lineRule="auto"/>
              <w:ind w:left="245" w:hanging="115"/>
            </w:pPr>
            <w:r>
              <w:rPr>
                <w:rFonts w:ascii="Aptos" w:hAnsi="Aptos"/>
                <w:b w:val="0"/>
                <w:color w:val="0E2F4F"/>
                <w:sz w:val="16"/>
              </w:rPr>
              <w:t xml:space="preserve">●  </w:t>
            </w:r>
            <w:r>
              <w:rPr>
                <w:rFonts w:ascii="Aptos" w:hAnsi="Aptos"/>
                <w:color w:val="24394D"/>
                <w:sz w:val="16"/>
              </w:rPr>
              <w:t>Cybersecurity and adversarial thinking</w:t>
            </w:r>
          </w:p>
          <w:p>
            <w:pPr>
              <w:spacing w:after="32" w:line="250" w:lineRule="auto"/>
              <w:ind w:left="245" w:hanging="115"/>
            </w:pPr>
            <w:r>
              <w:rPr>
                <w:rFonts w:ascii="Aptos" w:hAnsi="Aptos"/>
                <w:b w:val="0"/>
                <w:color w:val="0E2F4F"/>
                <w:sz w:val="16"/>
              </w:rPr>
              <w:t xml:space="preserve">●  </w:t>
            </w:r>
            <w:r>
              <w:rPr>
                <w:rFonts w:ascii="Aptos" w:hAnsi="Aptos"/>
                <w:color w:val="24394D"/>
                <w:sz w:val="16"/>
              </w:rPr>
              <w:t>Student-facing AI and human judgment</w:t>
            </w:r>
          </w:p>
          <w:p>
            <w:pPr>
              <w:spacing w:before="100" w:after="60"/>
            </w:pPr>
            <w:r>
              <w:rPr>
                <w:rFonts w:ascii="Aptos" w:hAnsi="Aptos"/>
                <w:b/>
                <w:color w:val="0E2F4F"/>
                <w:sz w:val="19"/>
              </w:rPr>
              <w:t>TECHNICAL SKILLS</w:t>
            </w:r>
          </w:p>
          <w:p>
            <w:pPr>
              <w:spacing w:after="31" w:line="250" w:lineRule="auto"/>
              <w:ind w:left="245" w:hanging="115"/>
            </w:pPr>
            <w:r>
              <w:rPr>
                <w:rFonts w:ascii="Aptos" w:hAnsi="Aptos"/>
                <w:b w:val="0"/>
                <w:color w:val="0E2F4F"/>
                <w:sz w:val="15"/>
              </w:rPr>
              <w:t xml:space="preserve">●  </w:t>
            </w:r>
            <w:r>
              <w:rPr>
                <w:rFonts w:ascii="Aptos" w:hAnsi="Aptos"/>
                <w:color w:val="24394D"/>
                <w:sz w:val="16"/>
              </w:rPr>
              <w:t>Python, NumPy, Pandas and Google Colab - working research workflow</w:t>
            </w:r>
          </w:p>
          <w:p>
            <w:pPr>
              <w:spacing w:after="31" w:line="250" w:lineRule="auto"/>
              <w:ind w:left="245" w:hanging="115"/>
            </w:pPr>
            <w:r>
              <w:rPr>
                <w:rFonts w:ascii="Aptos" w:hAnsi="Aptos"/>
                <w:b w:val="0"/>
                <w:color w:val="0E2F4F"/>
                <w:sz w:val="15"/>
              </w:rPr>
              <w:t xml:space="preserve">●  </w:t>
            </w:r>
            <w:r>
              <w:rPr>
                <w:rFonts w:ascii="Aptos" w:hAnsi="Aptos"/>
                <w:color w:val="24394D"/>
                <w:sz w:val="16"/>
              </w:rPr>
              <w:t>Competitive programming and algorithmic problem-solving</w:t>
            </w:r>
          </w:p>
          <w:p>
            <w:pPr>
              <w:spacing w:after="31" w:line="250" w:lineRule="auto"/>
              <w:ind w:left="245" w:hanging="115"/>
            </w:pPr>
            <w:r>
              <w:rPr>
                <w:rFonts w:ascii="Aptos" w:hAnsi="Aptos"/>
                <w:b w:val="0"/>
                <w:color w:val="0E2F4F"/>
                <w:sz w:val="15"/>
              </w:rPr>
              <w:t xml:space="preserve">●  </w:t>
            </w:r>
            <w:r>
              <w:rPr>
                <w:rFonts w:ascii="Aptos" w:hAnsi="Aptos"/>
                <w:color w:val="24394D"/>
                <w:sz w:val="16"/>
              </w:rPr>
              <w:t>Prompt/scenario design for model evaluation</w:t>
            </w:r>
          </w:p>
          <w:p>
            <w:pPr>
              <w:spacing w:after="31" w:line="250" w:lineRule="auto"/>
              <w:ind w:left="245" w:hanging="115"/>
            </w:pPr>
            <w:r>
              <w:rPr>
                <w:rFonts w:ascii="Aptos" w:hAnsi="Aptos"/>
                <w:b w:val="0"/>
                <w:color w:val="0E2F4F"/>
                <w:sz w:val="15"/>
              </w:rPr>
              <w:t xml:space="preserve">●  </w:t>
            </w:r>
            <w:r>
              <w:rPr>
                <w:rFonts w:ascii="Aptos" w:hAnsi="Aptos"/>
                <w:color w:val="24394D"/>
                <w:sz w:val="16"/>
              </w:rPr>
              <w:t>Rubric-based response scoring and structured comparison</w:t>
            </w:r>
          </w:p>
          <w:p>
            <w:pPr>
              <w:spacing w:after="31" w:line="250" w:lineRule="auto"/>
              <w:ind w:left="245" w:hanging="115"/>
            </w:pPr>
            <w:r>
              <w:rPr>
                <w:rFonts w:ascii="Aptos" w:hAnsi="Aptos"/>
                <w:b w:val="0"/>
                <w:color w:val="0E2F4F"/>
                <w:sz w:val="15"/>
              </w:rPr>
              <w:t xml:space="preserve">●  </w:t>
            </w:r>
            <w:r>
              <w:rPr>
                <w:rFonts w:ascii="Aptos" w:hAnsi="Aptos"/>
                <w:color w:val="24394D"/>
                <w:sz w:val="16"/>
              </w:rPr>
              <w:t>CSV dataset construction and basic quantitative analysis</w:t>
            </w:r>
          </w:p>
          <w:p>
            <w:pPr>
              <w:spacing w:after="31" w:line="250" w:lineRule="auto"/>
              <w:ind w:left="245" w:hanging="115"/>
            </w:pPr>
            <w:r>
              <w:rPr>
                <w:rFonts w:ascii="Aptos" w:hAnsi="Aptos"/>
                <w:b w:val="0"/>
                <w:color w:val="0E2F4F"/>
                <w:sz w:val="15"/>
              </w:rPr>
              <w:t xml:space="preserve">●  </w:t>
            </w:r>
            <w:r>
              <w:rPr>
                <w:rFonts w:ascii="Aptos" w:hAnsi="Aptos"/>
                <w:color w:val="24394D"/>
                <w:sz w:val="16"/>
              </w:rPr>
              <w:t>Debugging, testing and reproducible documentation habits</w:t>
            </w:r>
          </w:p>
          <w:p>
            <w:pPr>
              <w:spacing w:before="100" w:after="60"/>
            </w:pPr>
            <w:r>
              <w:rPr>
                <w:rFonts w:ascii="Aptos" w:hAnsi="Aptos"/>
                <w:b/>
                <w:color w:val="0E2F4F"/>
                <w:sz w:val="19"/>
              </w:rPr>
              <w:t>LANGUAGES</w:t>
            </w:r>
          </w:p>
          <w:p>
            <w:pPr>
              <w:spacing w:after="30" w:line="250" w:lineRule="auto"/>
              <w:ind w:left="245" w:hanging="115"/>
            </w:pPr>
            <w:r>
              <w:rPr>
                <w:rFonts w:ascii="Aptos" w:hAnsi="Aptos"/>
                <w:b w:val="0"/>
                <w:color w:val="0E2F4F"/>
                <w:sz w:val="15"/>
              </w:rPr>
              <w:t xml:space="preserve">●  </w:t>
            </w:r>
            <w:r>
              <w:rPr>
                <w:rFonts w:ascii="Aptos" w:hAnsi="Aptos"/>
                <w:color w:val="24394D"/>
                <w:sz w:val="16"/>
              </w:rPr>
              <w:t>English: Cambridge B2 First for Schools, Grade A, CEFR C1, 188/190</w:t>
            </w:r>
          </w:p>
          <w:p>
            <w:pPr>
              <w:spacing w:after="30" w:line="250" w:lineRule="auto"/>
              <w:ind w:left="245" w:hanging="115"/>
            </w:pPr>
            <w:r>
              <w:rPr>
                <w:rFonts w:ascii="Aptos" w:hAnsi="Aptos"/>
                <w:b w:val="0"/>
                <w:color w:val="0E2F4F"/>
                <w:sz w:val="15"/>
              </w:rPr>
              <w:t xml:space="preserve">●  </w:t>
            </w:r>
            <w:r>
              <w:rPr>
                <w:rFonts w:ascii="Aptos" w:hAnsi="Aptos"/>
                <w:color w:val="24394D"/>
                <w:sz w:val="16"/>
              </w:rPr>
              <w:t>French: DELF A1</w:t>
            </w:r>
          </w:p>
          <w:p>
            <w:pPr>
              <w:spacing w:after="30" w:line="250" w:lineRule="auto"/>
              <w:ind w:left="245" w:hanging="115"/>
            </w:pPr>
            <w:r>
              <w:rPr>
                <w:rFonts w:ascii="Aptos" w:hAnsi="Aptos"/>
                <w:b w:val="0"/>
                <w:color w:val="0E2F4F"/>
                <w:sz w:val="15"/>
              </w:rPr>
              <w:t xml:space="preserve">●  </w:t>
            </w:r>
            <w:r>
              <w:rPr>
                <w:rFonts w:ascii="Aptos" w:hAnsi="Aptos"/>
                <w:color w:val="24394D"/>
                <w:sz w:val="16"/>
              </w:rPr>
              <w:t>Chinese: basic / learning</w:t>
            </w:r>
          </w:p>
          <w:p>
            <w:pPr>
              <w:spacing w:after="30" w:line="250" w:lineRule="auto"/>
              <w:ind w:left="245" w:hanging="115"/>
            </w:pPr>
            <w:r>
              <w:rPr>
                <w:rFonts w:ascii="Aptos" w:hAnsi="Aptos"/>
                <w:b w:val="0"/>
                <w:color w:val="0E2F4F"/>
                <w:sz w:val="15"/>
              </w:rPr>
              <w:t xml:space="preserve">●  </w:t>
            </w:r>
            <w:r>
              <w:rPr>
                <w:rFonts w:ascii="Aptos" w:hAnsi="Aptos"/>
                <w:color w:val="24394D"/>
                <w:sz w:val="16"/>
              </w:rPr>
              <w:t>Myanmar: conversational</w:t>
            </w:r>
          </w:p>
          <w:p>
            <w:pPr>
              <w:spacing w:before="100" w:after="60"/>
            </w:pPr>
            <w:r>
              <w:rPr>
                <w:rFonts w:ascii="Aptos" w:hAnsi="Aptos"/>
                <w:b/>
                <w:color w:val="0E2F4F"/>
                <w:sz w:val="19"/>
              </w:rPr>
              <w:t>SELECTED LINKS</w:t>
            </w:r>
          </w:p>
          <w:p>
            <w:pPr>
              <w:spacing w:after="40"/>
            </w:pPr>
            <w:r>
              <w:rPr>
                <w:rFonts w:ascii="Aptos" w:hAnsi="Aptos"/>
                <w:b/>
                <w:color w:val="24394D"/>
                <w:sz w:val="16"/>
              </w:rPr>
              <w:t xml:space="preserve">Portfolio: </w:t>
            </w:r>
            <w:hyperlink r:id="rId10">
              <w:r>
                <w:rPr>
                  <w:color w:val="0B6FBF"/>
                  <w:u w:val="single"/>
                  <w:sz w:val="16"/>
                  <w:szCs w:val="16"/>
                  <w:rFonts w:ascii="Aptos" w:hAnsi="Aptos"/>
                </w:rPr>
                <w:t>sai-han-myo-shane-portfolio.vercel.app</w:t>
              </w:r>
            </w:hyperlink>
          </w:p>
          <w:p>
            <w:pPr>
              <w:spacing w:after="40"/>
            </w:pPr>
            <w:r>
              <w:rPr>
                <w:rFonts w:ascii="Aptos" w:hAnsi="Aptos"/>
                <w:b/>
                <w:color w:val="24394D"/>
                <w:sz w:val="16"/>
              </w:rPr>
              <w:t xml:space="preserve">ICSC Ambassador: </w:t>
            </w:r>
            <w:hyperlink r:id="rId11">
              <w:r>
                <w:rPr>
                  <w:color w:val="0B6FBF"/>
                  <w:u w:val="single"/>
                  <w:sz w:val="16"/>
                  <w:szCs w:val="16"/>
                  <w:rFonts w:ascii="Aptos" w:hAnsi="Aptos"/>
                </w:rPr>
                <w:t>icscompetition.org/sshane</w:t>
              </w:r>
            </w:hyperlink>
          </w:p>
        </w:tc>
        <w:tc>
          <w:tcPr>
            <w:tcW w:type="dxa" w:w="7370"/>
            <w:tcMar>
              <w:top w:w="80" w:type="dxa"/>
              <w:start w:w="140" w:type="dxa"/>
              <w:bottom w:w="90" w:type="dxa"/>
              <w:end w:w="80" w:type="dxa"/>
            </w:tcMar>
            <w:tcBorders>
              <w:left w:val="nil"/>
            </w:tcBorders>
          </w:tcPr>
          <w:p>
            <w:pPr>
              <w:spacing w:after="0" w:before="0"/>
            </w:pPr>
          </w:p>
          <w:p>
            <w:pPr>
              <w:spacing w:before="0" w:after="40"/>
              <w:pBdr>
                <w:bottom w:val="single" w:sz="10" w:space="2" w:color="0B6FBF"/>
              </w:pBdr>
            </w:pPr>
            <w:r>
              <w:rPr>
                <w:rFonts w:ascii="Aptos" w:hAnsi="Aptos"/>
                <w:b/>
                <w:color w:val="0E2F4F"/>
                <w:sz w:val="20"/>
              </w:rPr>
              <w:t>PROFILE</w:t>
            </w:r>
          </w:p>
          <w:p>
            <w:pPr>
              <w:spacing w:after="80" w:line="252" w:lineRule="auto"/>
            </w:pPr>
            <w:r>
              <w:rPr>
                <w:rFonts w:ascii="Aptos" w:hAnsi="Aptos"/>
                <w:i w:val="0"/>
                <w:color w:val="24394D"/>
                <w:sz w:val="17"/>
              </w:rPr>
              <w:t>High-school student from Myanmar developing research depth in LLM reasoning, evaluation, uncertainty, robustness, AI safety, and cybersecurity. Represented Myanmar at the International Olympiad in Artificial Intelligence (IOAI) 2026 and the International Cybersecurity Olympiad (ICO) 2025. Combines competitive programming, AI evaluation design, and STEM olympiad experience with a strong interest in empirical research on how language models reason, fail, and can be evaluated more reliably.</w:t>
            </w:r>
          </w:p>
          <w:p>
            <w:pPr>
              <w:spacing w:before="80" w:after="40"/>
              <w:pBdr>
                <w:bottom w:val="single" w:sz="10" w:space="2" w:color="0B6FBF"/>
              </w:pBdr>
            </w:pPr>
            <w:r>
              <w:rPr>
                <w:rFonts w:ascii="Aptos" w:hAnsi="Aptos"/>
                <w:b/>
                <w:color w:val="0E2F4F"/>
                <w:sz w:val="20"/>
              </w:rPr>
              <w:t>EDUCATION</w:t>
            </w:r>
          </w:p>
          <w:p>
            <w:pPr>
              <w:spacing w:after="20"/>
            </w:pPr>
            <w:r>
              <w:rPr>
                <w:rFonts w:ascii="Aptos" w:hAnsi="Aptos"/>
                <w:b/>
                <w:i w:val="0"/>
                <w:color w:val="24394D"/>
                <w:sz w:val="18"/>
              </w:rPr>
              <w:t>NIEC International School - Yangon, Myanmar | Grade 9 / Year 10, AY 2026/27</w:t>
            </w:r>
          </w:p>
          <w:p>
            <w:pPr>
              <w:spacing w:after="36" w:line="250" w:lineRule="auto"/>
              <w:ind w:left="245" w:hanging="115"/>
            </w:pPr>
            <w:r>
              <w:rPr>
                <w:rFonts w:ascii="Aptos" w:hAnsi="Aptos"/>
                <w:b w:val="0"/>
                <w:color w:val="0E2F4F"/>
                <w:sz w:val="16"/>
              </w:rPr>
              <w:t xml:space="preserve">●  </w:t>
            </w:r>
            <w:r>
              <w:rPr>
                <w:rFonts w:ascii="Aptos" w:hAnsi="Aptos"/>
                <w:color w:val="24394D"/>
                <w:sz w:val="16"/>
              </w:rPr>
              <w:t>Recipient of a two-year 50% academic scholarship for AY 2026/27 and AY 2027/28.</w:t>
            </w:r>
          </w:p>
          <w:p>
            <w:pPr>
              <w:spacing w:after="20"/>
            </w:pPr>
            <w:r>
              <w:rPr>
                <w:rFonts w:ascii="Aptos" w:hAnsi="Aptos"/>
                <w:b/>
                <w:i w:val="0"/>
                <w:color w:val="24394D"/>
                <w:sz w:val="18"/>
              </w:rPr>
              <w:t>ProQual Professional Qualification - Yangon, Myanmar | Pearson Edexcel International GCSE private candidate</w:t>
            </w:r>
          </w:p>
          <w:p>
            <w:pPr>
              <w:spacing w:after="36" w:line="250" w:lineRule="auto"/>
              <w:ind w:left="245" w:hanging="115"/>
            </w:pPr>
            <w:r>
              <w:rPr>
                <w:rFonts w:ascii="Aptos" w:hAnsi="Aptos"/>
                <w:b w:val="0"/>
                <w:color w:val="0E2F4F"/>
                <w:sz w:val="16"/>
              </w:rPr>
              <w:t>●  Pearson Edexcel International GCSE: Computer Science Grade 9; ICT Grade 8 (May/June 2026); remaining subjects continue in 2027.</w:t>
            </w:r>
            <w:r>
              <w:rPr>
                <w:rFonts w:ascii="Aptos" w:hAnsi="Aptos"/>
                <w:color w:val="24394D"/>
                <w:sz w:val="16"/>
              </w:rPr>
            </w:r>
          </w:p>
          <w:p>
            <w:pPr>
              <w:spacing w:after="20"/>
            </w:pPr>
            <w:r>
              <w:rPr>
                <w:rFonts w:ascii="Aptos" w:hAnsi="Aptos"/>
                <w:b/>
                <w:i w:val="0"/>
                <w:color w:val="24394D"/>
                <w:sz w:val="18"/>
              </w:rPr>
              <w:t>Pearson Edexcel iLowerSecondary Achievement Program | 2025</w:t>
            </w:r>
          </w:p>
          <w:p>
            <w:pPr>
              <w:spacing w:after="36" w:line="250" w:lineRule="auto"/>
              <w:ind w:left="245" w:hanging="115"/>
            </w:pPr>
            <w:r>
              <w:rPr>
                <w:rFonts w:ascii="Aptos" w:hAnsi="Aptos"/>
                <w:b w:val="0"/>
                <w:color w:val="0E2F4F"/>
                <w:sz w:val="16"/>
              </w:rPr>
              <w:t xml:space="preserve">●  </w:t>
            </w:r>
            <w:r>
              <w:rPr>
                <w:rFonts w:ascii="Aptos" w:hAnsi="Aptos"/>
                <w:color w:val="24394D"/>
                <w:sz w:val="16"/>
              </w:rPr>
              <w:t>Level S4 in Mathematics (75/80), Computing (71/80), and Science (67/80); Level S3 in English.</w:t>
            </w:r>
          </w:p>
          <w:p>
            <w:pPr>
              <w:spacing w:after="20"/>
            </w:pPr>
            <w:r>
              <w:rPr>
                <w:rFonts w:ascii="Aptos" w:hAnsi="Aptos"/>
                <w:b/>
                <w:i w:val="0"/>
                <w:color w:val="24394D"/>
                <w:sz w:val="18"/>
              </w:rPr>
              <w:t>Singapore International Primary School Examination (iPSLE) | July 2025, SEAB</w:t>
            </w:r>
          </w:p>
          <w:p>
            <w:pPr>
              <w:spacing w:after="44" w:line="250" w:lineRule="auto"/>
              <w:ind w:left="245" w:hanging="115"/>
            </w:pPr>
            <w:r>
              <w:rPr>
                <w:rFonts w:ascii="Aptos" w:hAnsi="Aptos"/>
                <w:b w:val="0"/>
                <w:color w:val="0E2F4F"/>
                <w:sz w:val="16"/>
              </w:rPr>
              <w:t xml:space="preserve">●  </w:t>
            </w:r>
            <w:r>
              <w:rPr>
                <w:rFonts w:ascii="Aptos" w:hAnsi="Aptos"/>
                <w:color w:val="24394D"/>
                <w:sz w:val="16"/>
              </w:rPr>
              <w:t>AL1 in English Language and Science; Certificate of Commendation and Outstanding Subject Performance Certificates.</w:t>
            </w:r>
          </w:p>
          <w:p>
            <w:pPr>
              <w:spacing w:before="80" w:after="40"/>
              <w:pBdr>
                <w:bottom w:val="single" w:sz="10" w:space="2" w:color="0B6FBF"/>
              </w:pBdr>
            </w:pPr>
            <w:r>
              <w:rPr>
                <w:rFonts w:ascii="Aptos" w:hAnsi="Aptos"/>
                <w:b/>
                <w:color w:val="0E2F4F"/>
                <w:sz w:val="20"/>
              </w:rPr>
              <w:t>AI, COMPUTING &amp; CYBERSECURITY HIGHLIGHTS</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IOAI 2026: </w:t>
            </w:r>
            <w:r>
              <w:rPr>
                <w:rFonts w:ascii="Aptos" w:hAnsi="Aptos"/>
                <w:color w:val="24394D"/>
                <w:sz w:val="16"/>
              </w:rPr>
              <w:t>Represented Myanmar at the global finals in Astana, Kazakhstan.</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ICO 2025: </w:t>
            </w:r>
            <w:r>
              <w:rPr>
                <w:rFonts w:ascii="Aptos" w:hAnsi="Aptos"/>
                <w:color w:val="24394D"/>
                <w:sz w:val="16"/>
              </w:rPr>
              <w:t>Represented Team Myanmar at the International Cybersecurity Olympiad at the National University of Singapore.</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ICSC: </w:t>
            </w:r>
            <w:r>
              <w:rPr>
                <w:rFonts w:ascii="Aptos" w:hAnsi="Aptos"/>
                <w:color w:val="24394D"/>
                <w:sz w:val="16"/>
              </w:rPr>
              <w:t>Official International Computer Science Competition Ambassador (2026); 2025 Final National Award, Myanmar #2 (top 15%).</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CodeCombat International Coding Olympiad: </w:t>
            </w:r>
            <w:r>
              <w:rPr>
                <w:rFonts w:ascii="Aptos" w:hAnsi="Aptos"/>
                <w:color w:val="24394D"/>
                <w:sz w:val="16"/>
              </w:rPr>
              <w:t>Global 1st Place Champion in programmatic script logic.</w:t>
            </w:r>
          </w:p>
          <w:p>
            <w:pPr>
              <w:spacing w:after="44" w:line="250" w:lineRule="auto"/>
              <w:ind w:left="245" w:hanging="115"/>
            </w:pPr>
            <w:r>
              <w:rPr>
                <w:rFonts w:ascii="Aptos" w:hAnsi="Aptos"/>
                <w:color w:val="0E2F4F"/>
                <w:sz w:val="16"/>
              </w:rPr>
              <w:t xml:space="preserve">●  </w:t>
            </w:r>
            <w:r>
              <w:rPr>
                <w:rFonts w:ascii="Aptos" w:hAnsi="Aptos"/>
                <w:b/>
                <w:color w:val="24394D"/>
                <w:sz w:val="16"/>
              </w:rPr>
              <w:t xml:space="preserve">IJCO / NJCO cybersecurity track: </w:t>
            </w:r>
            <w:r>
              <w:rPr>
                <w:rFonts w:ascii="Aptos" w:hAnsi="Aptos"/>
                <w:color w:val="24394D"/>
                <w:sz w:val="16"/>
              </w:rPr>
              <w:t>IJCO 2025 Team Silver; IJCO 2024 Individual Bronze and Team Silver; NJCO 2025 Silver (Myanmar #1) and NJCO 2024 Bronze.</w:t>
            </w:r>
          </w:p>
          <w:p>
            <w:pPr>
              <w:spacing w:after="44" w:line="250" w:lineRule="auto"/>
              <w:ind w:left="245" w:hanging="115"/>
            </w:pPr>
            <w:r>
              <w:rPr>
                <w:rFonts w:ascii="Aptos" w:hAnsi="Aptos"/>
                <w:color w:val="0E2F4F"/>
                <w:sz w:val="16"/>
              </w:rPr>
              <w:t>●  IMO 2027 Myanmar Team Selection: Passed the Pre-TST stage and qualified/registered for Myanmar's IMO 2027 team-selection pathway. Selection is based on TST1, TST2, the Myanmar National Olympiad (MNO), European Mathematical Cup (EMC), and Asian Pacific Mathematics Olympiad (APMO).</w:t>
            </w:r>
          </w:p>
          <w:p>
            <w:pPr>
              <w:spacing w:before="80" w:after="40"/>
              <w:pBdr>
                <w:bottom w:val="single" w:sz="10" w:space="2" w:color="0B6FBF"/>
              </w:pBdr>
            </w:pPr>
            <w:r>
              <w:rPr>
                <w:rFonts w:ascii="Aptos" w:hAnsi="Aptos"/>
                <w:b/>
                <w:color w:val="0E2F4F"/>
                <w:sz w:val="20"/>
              </w:rPr>
              <w:t>SELECTED STEM RECOGNITION</w:t>
            </w:r>
          </w:p>
          <w:p>
            <w:pPr>
              <w:spacing w:after="60" w:line="252" w:lineRule="auto"/>
            </w:pPr>
            <w:r>
              <w:rPr>
                <w:rFonts w:ascii="Aptos" w:hAnsi="Aptos"/>
                <w:i w:val="0"/>
                <w:color w:val="24394D"/>
                <w:sz w:val="16"/>
              </w:rPr>
              <w:t>British Physics Olympiad Junior Physics Challenge 2025 - Global Gold, global rank 36; Singapore Mathematics Global Finals 2026 - Global Silver; SASMO 2026 - Silver; Kangaroo Mathematics 2025/2026 - Silver; STEMCo Global Silver medals in Biology and Chemistry; SIMOC 2025 - Bronze.</w:t>
            </w:r>
          </w:p>
          <w:p>
            <w:pPr>
              <w:spacing w:before="80" w:after="40"/>
              <w:pBdr>
                <w:bottom w:val="single" w:sz="10" w:space="2" w:color="0B6FBF"/>
              </w:pBdr>
            </w:pPr>
            <w:r>
              <w:rPr>
                <w:rFonts w:ascii="Aptos" w:hAnsi="Aptos"/>
                <w:b/>
                <w:color w:val="0E2F4F"/>
                <w:sz w:val="20"/>
              </w:rPr>
              <w:t>LEADERSHIP &amp; GLOBAL EXPOSURE</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Global Student Leadership Council / IJHS: </w:t>
            </w:r>
            <w:r>
              <w:rPr>
                <w:rFonts w:ascii="Aptos" w:hAnsi="Aptos"/>
                <w:color w:val="24394D"/>
                <w:sz w:val="16"/>
              </w:rPr>
              <w:t>Council Member, Student Development Committee, 2025-present; peer training, tutoring, and youth outreach.</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Zero2Entrepreneur International Bootcamp - Asia School of Business, Kuala Lumpur: </w:t>
            </w:r>
            <w:r>
              <w:rPr>
                <w:rFonts w:ascii="Aptos" w:hAnsi="Aptos"/>
                <w:color w:val="24394D"/>
                <w:sz w:val="16"/>
              </w:rPr>
              <w:t>Full Scholarship Recipient and First Prize Winner, 2025.</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Young Achievers Leadership Academy - Shenzhen, China: </w:t>
            </w:r>
            <w:r>
              <w:rPr>
                <w:rFonts w:ascii="Aptos" w:hAnsi="Aptos"/>
                <w:color w:val="24394D"/>
                <w:sz w:val="16"/>
              </w:rPr>
              <w:t>Platinum Scholarship Recipient and Outstanding Leader Award, 2025.</w:t>
            </w:r>
          </w:p>
        </w:tc>
      </w:tr>
    </w:tbl>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488"/>
      </w:tblGrid>
      <w:tr>
        <w:tc>
          <w:tcPr>
            <w:tcW w:type="dxa" w:w="10488"/>
            <w:shd w:fill="0E2F4F"/>
            <w:tcMar>
              <w:top w:w="130" w:type="dxa"/>
              <w:start w:w="140" w:type="dxa"/>
              <w:bottom w:w="115" w:type="dxa"/>
              <w:end w:w="140" w:type="dxa"/>
            </w:tcMar>
          </w:tcPr>
          <w:p>
            <w:pPr>
              <w:spacing w:after="40" w:before="0"/>
            </w:pPr>
            <w:r>
              <w:rPr>
                <w:rFonts w:ascii="Aptos" w:hAnsi="Aptos"/>
                <w:b/>
                <w:color w:val="FFFFFF"/>
                <w:sz w:val="38"/>
              </w:rPr>
              <w:t>RESEARCH &amp; TECHNICAL PORTFOLIO</w:t>
            </w:r>
          </w:p>
          <w:p>
            <w:pPr>
              <w:spacing w:after="0"/>
            </w:pPr>
            <w:r>
              <w:rPr>
                <w:rFonts w:ascii="Aptos" w:hAnsi="Aptos"/>
                <w:color w:val="DDE7EF"/>
                <w:sz w:val="17"/>
              </w:rPr>
              <w:t>Algoverse-focused update | preliminary research work clearly distinguished from completed results</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329"/>
        <w:gridCol w:w="5102"/>
      </w:tblGrid>
      <w:tr>
        <w:tc>
          <w:tcPr>
            <w:tcW w:type="dxa" w:w="5244"/>
            <w:tcMar>
              <w:top w:w="80" w:type="dxa"/>
              <w:start w:w="80" w:type="dxa"/>
              <w:bottom w:w="80" w:type="dxa"/>
              <w:end w:w="130" w:type="dxa"/>
            </w:tcMar>
            <w:tcBorders>
              <w:right w:val="nil"/>
            </w:tcBorders>
          </w:tcPr>
          <w:p>
            <w:pPr>
              <w:spacing w:after="0" w:before="0"/>
            </w:pPr>
          </w:p>
          <w:p>
            <w:pPr>
              <w:spacing w:before="0" w:after="40"/>
              <w:pBdr>
                <w:bottom w:val="single" w:sz="10" w:space="2" w:color="0B6FBF"/>
              </w:pBdr>
            </w:pPr>
            <w:r>
              <w:rPr>
                <w:rFonts w:ascii="Aptos" w:hAnsi="Aptos"/>
                <w:b/>
                <w:color w:val="0E2F4F"/>
                <w:sz w:val="20"/>
              </w:rPr>
              <w:t>WISE-STUDENTLLM-BENCH</w:t>
            </w:r>
          </w:p>
          <w:p>
            <w:pPr>
              <w:spacing w:after="20"/>
            </w:pPr>
            <w:r>
              <w:rPr>
                <w:rFonts w:ascii="Aptos" w:hAnsi="Aptos"/>
                <w:b/>
                <w:i w:val="0"/>
                <w:color w:val="24394D"/>
                <w:sz w:val="18"/>
              </w:rPr>
              <w:t>Evaluating LLM Safety for Student Learning</w:t>
            </w:r>
          </w:p>
          <w:p>
            <w:pPr>
              <w:spacing w:after="60" w:line="252" w:lineRule="auto"/>
            </w:pPr>
            <w:r>
              <w:rPr>
                <w:rFonts w:ascii="Aptos" w:hAnsi="Aptos"/>
                <w:i/>
                <w:color w:val="66788A"/>
                <w:sz w:val="17"/>
              </w:rPr>
              <w:t>Status: preliminary research concept and pilot design. It is not presented as a completed benchmark or a generalizable empirical study.</w:t>
            </w:r>
          </w:p>
          <w:p>
            <w:pPr>
              <w:spacing w:before="80" w:after="40"/>
              <w:pBdr>
                <w:bottom w:val="single" w:sz="10" w:space="2" w:color="0B6FBF"/>
              </w:pBdr>
            </w:pPr>
            <w:r>
              <w:rPr>
                <w:rFonts w:ascii="Aptos" w:hAnsi="Aptos"/>
                <w:b/>
                <w:color w:val="0E2F4F"/>
                <w:sz w:val="20"/>
              </w:rPr>
              <w:t>RESEARCH QUESTION</w:t>
            </w:r>
          </w:p>
          <w:p>
            <w:pPr>
              <w:spacing w:after="60" w:line="252" w:lineRule="auto"/>
            </w:pPr>
            <w:r>
              <w:rPr>
                <w:rFonts w:ascii="Aptos" w:hAnsi="Aptos"/>
                <w:i w:val="0"/>
                <w:color w:val="24394D"/>
                <w:sz w:val="17"/>
              </w:rPr>
              <w:t>How can student-facing LLM responses be evaluated for factual reliability, overreliance, academic integrity, privacy, unsafe advice, and support for independent reasoning?</w:t>
            </w:r>
          </w:p>
          <w:p>
            <w:pPr>
              <w:spacing w:before="80" w:after="40"/>
              <w:pBdr>
                <w:bottom w:val="single" w:sz="10" w:space="2" w:color="0B6FBF"/>
              </w:pBdr>
            </w:pPr>
            <w:r>
              <w:rPr>
                <w:rFonts w:ascii="Aptos" w:hAnsi="Aptos"/>
                <w:b/>
                <w:color w:val="0E2F4F"/>
                <w:sz w:val="20"/>
              </w:rPr>
              <w:t>PROPOSED METHOD</w:t>
            </w:r>
          </w:p>
          <w:p>
            <w:pPr>
              <w:spacing w:after="34" w:line="250" w:lineRule="auto"/>
              <w:ind w:left="245" w:hanging="115"/>
            </w:pPr>
            <w:r>
              <w:rPr>
                <w:rFonts w:ascii="Aptos" w:hAnsi="Aptos"/>
                <w:b w:val="0"/>
                <w:color w:val="0E2F4F"/>
                <w:sz w:val="16"/>
              </w:rPr>
              <w:t xml:space="preserve">●  </w:t>
            </w:r>
            <w:r>
              <w:rPr>
                <w:rFonts w:ascii="Aptos" w:hAnsi="Aptos"/>
                <w:color w:val="24394D"/>
                <w:sz w:val="16"/>
              </w:rPr>
              <w:t>Build a safe set of 20-30 student-facing prompts spanning misinformation/hallucination, overreliance, academic integrity, privacy, unsafe advice, and responsible learning support.</w:t>
            </w:r>
          </w:p>
          <w:p>
            <w:pPr>
              <w:spacing w:after="34" w:line="250" w:lineRule="auto"/>
              <w:ind w:left="245" w:hanging="115"/>
            </w:pPr>
            <w:r>
              <w:rPr>
                <w:rFonts w:ascii="Aptos" w:hAnsi="Aptos"/>
                <w:b w:val="0"/>
                <w:color w:val="0E2F4F"/>
                <w:sz w:val="16"/>
              </w:rPr>
              <w:t xml:space="preserve">●  </w:t>
            </w:r>
            <w:r>
              <w:rPr>
                <w:rFonts w:ascii="Aptos" w:hAnsi="Aptos"/>
                <w:color w:val="24394D"/>
                <w:sz w:val="16"/>
              </w:rPr>
              <w:t>Record real model outputs with model name, date, prompt ID, reviewer scores, and notes; label any demonstration rows explicitly.</w:t>
            </w:r>
          </w:p>
          <w:p>
            <w:pPr>
              <w:spacing w:after="34" w:line="250" w:lineRule="auto"/>
              <w:ind w:left="245" w:hanging="115"/>
            </w:pPr>
            <w:r>
              <w:rPr>
                <w:rFonts w:ascii="Aptos" w:hAnsi="Aptos"/>
                <w:b w:val="0"/>
                <w:color w:val="0E2F4F"/>
                <w:sz w:val="16"/>
              </w:rPr>
              <w:t xml:space="preserve">●  </w:t>
            </w:r>
            <w:r>
              <w:rPr>
                <w:rFonts w:ascii="Aptos" w:hAnsi="Aptos"/>
                <w:color w:val="24394D"/>
                <w:sz w:val="16"/>
              </w:rPr>
              <w:t>Use a 1-5 rubric covering factual reliability, learning support, academic integrity, privacy protection, and safety of advice.</w:t>
            </w:r>
          </w:p>
          <w:p>
            <w:pPr>
              <w:spacing w:after="34" w:line="250" w:lineRule="auto"/>
              <w:ind w:left="245" w:hanging="115"/>
            </w:pPr>
            <w:r>
              <w:rPr>
                <w:rFonts w:ascii="Aptos" w:hAnsi="Aptos"/>
                <w:b w:val="0"/>
                <w:color w:val="0E2F4F"/>
                <w:sz w:val="16"/>
              </w:rPr>
              <w:t xml:space="preserve">●  </w:t>
            </w:r>
            <w:r>
              <w:rPr>
                <w:rFonts w:ascii="Aptos" w:hAnsi="Aptos"/>
                <w:color w:val="24394D"/>
                <w:sz w:val="16"/>
              </w:rPr>
              <w:t>Analyze category means, disagreement patterns, and Green/Yellow/Red action labels in Python.</w:t>
            </w:r>
          </w:p>
          <w:p>
            <w:pPr>
              <w:spacing w:after="34" w:line="250" w:lineRule="auto"/>
              <w:ind w:left="245" w:hanging="115"/>
            </w:pPr>
            <w:r>
              <w:rPr>
                <w:rFonts w:ascii="Aptos" w:hAnsi="Aptos"/>
                <w:b w:val="0"/>
                <w:color w:val="0E2F4F"/>
                <w:sz w:val="16"/>
              </w:rPr>
              <w:t xml:space="preserve">●  </w:t>
            </w:r>
            <w:r>
              <w:rPr>
                <w:rFonts w:ascii="Aptos" w:hAnsi="Aptos"/>
                <w:color w:val="24394D"/>
                <w:sz w:val="16"/>
              </w:rPr>
              <w:t>Document limitations, safe prompt boundaries, and data handling; avoid private student data and harmful operational instructions.</w:t>
            </w:r>
          </w:p>
          <w:p>
            <w:pPr>
              <w:spacing w:before="80" w:after="40"/>
              <w:pBdr>
                <w:bottom w:val="single" w:sz="10" w:space="2" w:color="0B6FBF"/>
              </w:pBdr>
            </w:pPr>
            <w:r>
              <w:rPr>
                <w:rFonts w:ascii="Aptos" w:hAnsi="Aptos"/>
                <w:b/>
                <w:color w:val="0E2F4F"/>
                <w:sz w:val="20"/>
              </w:rPr>
              <w:t>PLANNED ARTIFACTS</w:t>
            </w:r>
          </w:p>
          <w:p>
            <w:pPr>
              <w:spacing w:after="50" w:line="252" w:lineRule="auto"/>
            </w:pPr>
            <w:r>
              <w:rPr>
                <w:rFonts w:ascii="Aptos" w:hAnsi="Aptos"/>
                <w:i w:val="0"/>
                <w:color w:val="24394D"/>
                <w:sz w:val="16"/>
              </w:rPr>
              <w:t>prompts.csv | scored_responses.csv | rubric.md | analysis.ipynb / analysis.py | README.md | data_card.md | results_summary.md</w:t>
            </w:r>
          </w:p>
          <w:p>
            <w:pPr>
              <w:spacing w:after="60" w:line="252" w:lineRule="auto"/>
            </w:pPr>
            <w:r>
              <w:rPr>
                <w:rFonts w:ascii="Aptos" w:hAnsi="Aptos"/>
                <w:i/>
                <w:color w:val="66788A"/>
                <w:sz w:val="16"/>
              </w:rPr>
              <w:t>Scope: evaluation of existing LLM responses only; no model training or LLM construction.</w:t>
            </w:r>
          </w:p>
        </w:tc>
        <w:tc>
          <w:tcPr>
            <w:tcW w:type="dxa" w:w="5244"/>
            <w:tcMar>
              <w:top w:w="80" w:type="dxa"/>
              <w:start w:w="130" w:type="dxa"/>
              <w:bottom w:w="80" w:type="dxa"/>
              <w:end w:w="80" w:type="dxa"/>
            </w:tcMar>
            <w:tcBorders>
              <w:left w:val="nil"/>
            </w:tcBorders>
          </w:tcPr>
          <w:p>
            <w:pPr>
              <w:spacing w:after="0" w:before="0"/>
            </w:pPr>
          </w:p>
          <w:p>
            <w:pPr>
              <w:spacing w:before="0" w:after="40"/>
              <w:pBdr>
                <w:bottom w:val="single" w:sz="10" w:space="2" w:color="0B6FBF"/>
              </w:pBdr>
            </w:pPr>
            <w:r>
              <w:rPr>
                <w:rFonts w:ascii="Aptos" w:hAnsi="Aptos"/>
                <w:b/>
                <w:color w:val="0E2F4F"/>
                <w:sz w:val="20"/>
              </w:rPr>
              <w:t>CURRENT RESEARCH DIRECTIONS</w:t>
            </w:r>
          </w:p>
          <w:p>
            <w:pPr>
              <w:spacing w:after="40" w:line="252" w:lineRule="auto"/>
            </w:pPr>
            <w:r>
              <w:rPr>
                <w:rFonts w:ascii="Aptos" w:hAnsi="Aptos"/>
                <w:i/>
                <w:color w:val="66788A"/>
                <w:sz w:val="16"/>
              </w:rPr>
              <w:t>Interests emphasized in the 2026 Algoverse application:</w:t>
            </w:r>
          </w:p>
          <w:p>
            <w:pPr>
              <w:spacing w:after="34" w:line="250" w:lineRule="auto"/>
              <w:ind w:left="245" w:hanging="115"/>
            </w:pPr>
            <w:r>
              <w:rPr>
                <w:rFonts w:ascii="Aptos" w:hAnsi="Aptos"/>
                <w:b w:val="0"/>
                <w:color w:val="0E2F4F"/>
                <w:sz w:val="16"/>
              </w:rPr>
              <w:t xml:space="preserve">●  </w:t>
            </w:r>
            <w:r>
              <w:rPr>
                <w:rFonts w:ascii="Aptos" w:hAnsi="Aptos"/>
                <w:color w:val="24394D"/>
                <w:sz w:val="16"/>
              </w:rPr>
              <w:t>LLM reasoning: distinguishing correct final answers from flawed or brittle reasoning processes.</w:t>
            </w:r>
          </w:p>
          <w:p>
            <w:pPr>
              <w:spacing w:after="34" w:line="250" w:lineRule="auto"/>
              <w:ind w:left="245" w:hanging="115"/>
            </w:pPr>
            <w:r>
              <w:rPr>
                <w:rFonts w:ascii="Aptos" w:hAnsi="Aptos"/>
                <w:b w:val="0"/>
                <w:color w:val="0E2F4F"/>
                <w:sz w:val="16"/>
              </w:rPr>
              <w:t xml:space="preserve">●  </w:t>
            </w:r>
            <w:r>
              <w:rPr>
                <w:rFonts w:ascii="Aptos" w:hAnsi="Aptos"/>
                <w:color w:val="24394D"/>
                <w:sz w:val="16"/>
              </w:rPr>
              <w:t>Uncertainty and calibration: studying when models are overconfident, underconfident, or poorly calibrated.</w:t>
            </w:r>
          </w:p>
          <w:p>
            <w:pPr>
              <w:spacing w:after="34" w:line="250" w:lineRule="auto"/>
              <w:ind w:left="245" w:hanging="115"/>
            </w:pPr>
            <w:r>
              <w:rPr>
                <w:rFonts w:ascii="Aptos" w:hAnsi="Aptos"/>
                <w:b w:val="0"/>
                <w:color w:val="0E2F4F"/>
                <w:sz w:val="16"/>
              </w:rPr>
              <w:t xml:space="preserve">●  </w:t>
            </w:r>
            <w:r>
              <w:rPr>
                <w:rFonts w:ascii="Aptos" w:hAnsi="Aptos"/>
                <w:color w:val="24394D"/>
                <w:sz w:val="16"/>
              </w:rPr>
              <w:t>Robustness: testing consistency under paraphrases, formatting changes, and related prompt perturbations.</w:t>
            </w:r>
          </w:p>
          <w:p>
            <w:pPr>
              <w:spacing w:after="34" w:line="250" w:lineRule="auto"/>
              <w:ind w:left="245" w:hanging="115"/>
            </w:pPr>
            <w:r>
              <w:rPr>
                <w:rFonts w:ascii="Aptos" w:hAnsi="Aptos"/>
                <w:b w:val="0"/>
                <w:color w:val="0E2F4F"/>
                <w:sz w:val="16"/>
              </w:rPr>
              <w:t xml:space="preserve">●  </w:t>
            </w:r>
            <w:r>
              <w:rPr>
                <w:rFonts w:ascii="Aptos" w:hAnsi="Aptos"/>
                <w:color w:val="24394D"/>
                <w:sz w:val="16"/>
              </w:rPr>
              <w:t>Evaluation methodology: designing benchmarks and rubrics that separate accuracy, reasoning quality, uncertainty, and safety.</w:t>
            </w:r>
          </w:p>
          <w:p>
            <w:pPr>
              <w:spacing w:after="34" w:line="250" w:lineRule="auto"/>
              <w:ind w:left="245" w:hanging="115"/>
            </w:pPr>
            <w:r>
              <w:rPr>
                <w:rFonts w:ascii="Aptos" w:hAnsi="Aptos"/>
                <w:b w:val="0"/>
                <w:color w:val="0E2F4F"/>
                <w:sz w:val="16"/>
              </w:rPr>
              <w:t xml:space="preserve">●  </w:t>
            </w:r>
            <w:r>
              <w:rPr>
                <w:rFonts w:ascii="Aptos" w:hAnsi="Aptos"/>
                <w:color w:val="24394D"/>
                <w:sz w:val="16"/>
              </w:rPr>
              <w:t>Student-facing AI safety: applying evaluation methods to learning, verification, privacy, and responsible AI use.</w:t>
            </w:r>
          </w:p>
          <w:p>
            <w:pPr>
              <w:spacing w:before="80" w:after="40"/>
              <w:pBdr>
                <w:bottom w:val="single" w:sz="10" w:space="2" w:color="0B6FBF"/>
              </w:pBdr>
            </w:pPr>
            <w:r>
              <w:rPr>
                <w:rFonts w:ascii="Aptos" w:hAnsi="Aptos"/>
                <w:b/>
                <w:color w:val="0E2F4F"/>
                <w:sz w:val="20"/>
              </w:rPr>
              <w:t>RESEARCH READINESS</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AI olympiad experience: </w:t>
            </w:r>
            <w:r>
              <w:rPr>
                <w:rFonts w:ascii="Aptos" w:hAnsi="Aptos"/>
                <w:color w:val="24394D"/>
                <w:sz w:val="16"/>
              </w:rPr>
              <w:t>exposure to data handling, model-oriented problem solving, and structured technical tasks.</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Cybersecurity competitions: </w:t>
            </w:r>
            <w:r>
              <w:rPr>
                <w:rFonts w:ascii="Aptos" w:hAnsi="Aptos"/>
                <w:color w:val="24394D"/>
                <w:sz w:val="16"/>
              </w:rPr>
              <w:t>adversarial thinking, risk identification, and attention to system failure modes.</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Competitive programming: </w:t>
            </w:r>
            <w:r>
              <w:rPr>
                <w:rFonts w:ascii="Aptos" w:hAnsi="Aptos"/>
                <w:color w:val="24394D"/>
                <w:sz w:val="16"/>
              </w:rPr>
              <w:t>algorithmic reasoning, debugging, persistence, and precise implementation.</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STEM olympiads: </w:t>
            </w:r>
            <w:r>
              <w:rPr>
                <w:rFonts w:ascii="Aptos" w:hAnsi="Aptos"/>
                <w:color w:val="24394D"/>
                <w:sz w:val="16"/>
              </w:rPr>
              <w:t>formal reasoning, quantitative analysis, and comfort with unfamiliar technical problems.</w:t>
            </w:r>
          </w:p>
          <w:p>
            <w:pPr>
              <w:spacing w:after="34" w:line="250" w:lineRule="auto"/>
              <w:ind w:left="245" w:hanging="115"/>
            </w:pPr>
            <w:r>
              <w:rPr>
                <w:rFonts w:ascii="Aptos" w:hAnsi="Aptos"/>
                <w:color w:val="0E2F4F"/>
                <w:sz w:val="16"/>
              </w:rPr>
              <w:t xml:space="preserve">●  </w:t>
            </w:r>
            <w:r>
              <w:rPr>
                <w:rFonts w:ascii="Aptos" w:hAnsi="Aptos"/>
                <w:b/>
                <w:color w:val="24394D"/>
                <w:sz w:val="16"/>
              </w:rPr>
              <w:t xml:space="preserve">Evaluation discipline: </w:t>
            </w:r>
            <w:r>
              <w:rPr>
                <w:rFonts w:ascii="Aptos" w:hAnsi="Aptos"/>
                <w:color w:val="24394D"/>
                <w:sz w:val="16"/>
              </w:rPr>
              <w:t>clear separation of real observations from demo/TODO content, with explicit limitations and reproducibility notes.</w:t>
            </w:r>
          </w:p>
          <w:p>
            <w:pPr>
              <w:spacing w:before="80" w:after="40"/>
              <w:pBdr>
                <w:bottom w:val="single" w:sz="10" w:space="2" w:color="0B6FBF"/>
              </w:pBdr>
            </w:pPr>
            <w:r>
              <w:rPr>
                <w:rFonts w:ascii="Aptos" w:hAnsi="Aptos"/>
                <w:b/>
                <w:color w:val="0E2F4F"/>
                <w:sz w:val="20"/>
              </w:rPr>
              <w:t>RESEARCH GOAL</w:t>
            </w:r>
          </w:p>
          <w:p>
            <w:pPr>
              <w:spacing w:after="60" w:line="252" w:lineRule="auto"/>
            </w:pPr>
            <w:r>
              <w:rPr>
                <w:rFonts w:ascii="Aptos" w:hAnsi="Aptos"/>
                <w:i w:val="0"/>
                <w:color w:val="24394D"/>
                <w:sz w:val="16"/>
              </w:rPr>
              <w:t>Develop from competition-level technical problem solving toward supervised AI research: formulating a narrow question, constructing or curating evaluation data, running reproducible experiments, analyzing failure patterns, and communicating results with appropriate uncertainty and limitations.</w:t>
            </w:r>
          </w:p>
          <w:p>
            <w:pPr>
              <w:spacing w:before="80" w:after="40"/>
              <w:pBdr>
                <w:bottom w:val="single" w:sz="10" w:space="2" w:color="0B6FBF"/>
              </w:pBdr>
            </w:pPr>
            <w:r>
              <w:rPr>
                <w:rFonts w:ascii="Aptos" w:hAnsi="Aptos"/>
                <w:b/>
                <w:color w:val="0E2F4F"/>
                <w:sz w:val="20"/>
              </w:rPr>
              <w:t>SELECTED INTERNATIONAL EXPERIENCE</w:t>
            </w:r>
          </w:p>
          <w:p>
            <w:pPr>
              <w:spacing w:after="32" w:line="250" w:lineRule="auto"/>
              <w:ind w:left="245" w:hanging="115"/>
            </w:pPr>
            <w:r>
              <w:rPr>
                <w:rFonts w:ascii="Aptos" w:hAnsi="Aptos"/>
                <w:b w:val="0"/>
                <w:color w:val="0E2F4F"/>
                <w:sz w:val="16"/>
              </w:rPr>
              <w:t xml:space="preserve">●  </w:t>
            </w:r>
            <w:r>
              <w:rPr>
                <w:rFonts w:ascii="Aptos" w:hAnsi="Aptos"/>
                <w:color w:val="24394D"/>
                <w:sz w:val="16"/>
              </w:rPr>
              <w:t>IOAI 2026 - Team Myanmar, Astana, Kazakhstan.</w:t>
            </w:r>
          </w:p>
          <w:p>
            <w:pPr>
              <w:spacing w:after="32" w:line="250" w:lineRule="auto"/>
              <w:ind w:left="245" w:hanging="115"/>
            </w:pPr>
            <w:r>
              <w:rPr>
                <w:rFonts w:ascii="Aptos" w:hAnsi="Aptos"/>
                <w:b w:val="0"/>
                <w:color w:val="0E2F4F"/>
                <w:sz w:val="16"/>
              </w:rPr>
              <w:t xml:space="preserve">●  </w:t>
            </w:r>
            <w:r>
              <w:rPr>
                <w:rFonts w:ascii="Aptos" w:hAnsi="Aptos"/>
                <w:color w:val="24394D"/>
                <w:sz w:val="16"/>
              </w:rPr>
              <w:t>ICO 2025 - Team Myanmar, National University of Singapore.</w:t>
            </w:r>
          </w:p>
          <w:p>
            <w:pPr>
              <w:spacing w:after="32" w:line="250" w:lineRule="auto"/>
              <w:ind w:left="245" w:hanging="115"/>
            </w:pPr>
            <w:r>
              <w:rPr>
                <w:rFonts w:ascii="Aptos" w:hAnsi="Aptos"/>
                <w:b w:val="0"/>
                <w:color w:val="0E2F4F"/>
                <w:sz w:val="16"/>
              </w:rPr>
              <w:t xml:space="preserve">●  </w:t>
            </w:r>
            <w:r>
              <w:rPr>
                <w:rFonts w:ascii="Aptos" w:hAnsi="Aptos"/>
                <w:color w:val="24394D"/>
                <w:sz w:val="16"/>
              </w:rPr>
              <w:t>Zero2Entrepreneur 2025 - full scholarship and First Prize, Asia School of Business, Kuala Lumpur.</w:t>
            </w:r>
          </w:p>
          <w:p>
            <w:pPr>
              <w:spacing w:after="32" w:line="250" w:lineRule="auto"/>
              <w:ind w:left="245" w:hanging="115"/>
            </w:pPr>
            <w:r>
              <w:rPr>
                <w:rFonts w:ascii="Aptos" w:hAnsi="Aptos"/>
                <w:b w:val="0"/>
                <w:color w:val="0E2F4F"/>
                <w:sz w:val="16"/>
              </w:rPr>
              <w:t xml:space="preserve">●  </w:t>
            </w:r>
            <w:r>
              <w:rPr>
                <w:rFonts w:ascii="Aptos" w:hAnsi="Aptos"/>
                <w:color w:val="24394D"/>
                <w:sz w:val="16"/>
              </w:rPr>
              <w:t>Young Achievers Leadership Academy 2025 - Platinum Scholarship and Outstanding Leader Award, Shenzhen.</w:t>
            </w:r>
          </w:p>
          <w:p>
            <w:pPr>
              <w:spacing w:before="80" w:after="40"/>
              <w:pBdr>
                <w:bottom w:val="single" w:sz="10" w:space="2" w:color="0B6FBF"/>
              </w:pBdr>
            </w:pPr>
            <w:r>
              <w:rPr>
                <w:rFonts w:ascii="Aptos" w:hAnsi="Aptos"/>
                <w:b/>
                <w:color w:val="0E2F4F"/>
                <w:sz w:val="20"/>
              </w:rPr>
              <w:t>AVAILABILITY OF SUPPORTING MATERIAL</w:t>
            </w:r>
          </w:p>
          <w:p>
            <w:pPr>
              <w:spacing w:after="40" w:line="252" w:lineRule="auto"/>
            </w:pPr>
            <w:r>
              <w:t>Competition certificates, academic results, MSM team-selection qualification notice, ambassador profile, and project materials can be provided where requested.</w:t>
            </w:r>
          </w:p>
        </w:tc>
      </w:tr>
    </w:tbl>
    <w:sectPr w:rsidR="00FC693F" w:rsidRPr="0006063C" w:rsidSect="00034616">
      <w:footerReference w:type="default" r:id="rId9"/>
      <w:pgSz w:w="11906" w:h="16838"/>
      <w:pgMar w:top="595" w:right="709" w:bottom="567" w:left="709" w:header="170"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ptos" w:hAnsi="Aptos"/>
        <w:color w:val="748492"/>
        <w:sz w:val="14"/>
      </w:rPr>
      <w:t xml:space="preserve">Sai Han Myo Shane (Junaid Wong) - Research &amp; Technical CV  |  Updated Sep 2026  |  </w:t>
    </w:r>
    <w:r>
      <w:rPr>
        <w:rFonts w:ascii="Aptos" w:hAnsi="Aptos"/>
        <w:color w:val="748492"/>
        <w:sz w:val="1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ai-han-myo-shane-portfolio.vercel.app/" TargetMode="External"/><Relationship Id="rId11" Type="http://schemas.openxmlformats.org/officeDocument/2006/relationships/hyperlink" Target="https://icscompetition.org/ssha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