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o78mzzri7crk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Assignment#3: Kaleidoscope and MLIR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Sai Harsha Kottapalli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CS17BTECH11036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Intermediate representation is where the actual source code is represented as “code” used by compiler(internally) with an objective to be optimized or to apply transformation.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transforms the source code to different target languages.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acts as an interface for the front-end and back-end parts of compiler.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is, first the source is successfully transformed to IR with the help of front-end, which is first optimized before one of the corresponding back-end come into play, translating to target machine code.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therefore, helps in reducing the number of optimizers and code generators for translating multiple source languages to multiple target machines.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Hence, this allows for the support of a lots of target environments.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LLVM(Low Level Virtual Machine) IR is a low level language whose objective to provide Intermediate Code which is machine-independent while being available in human readable format.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ensures that source code from one compiler front end giving LLVM IR which can be compiled to machine code of different machines.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Hence,the optimizer would be common for different languages and different machines.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most front-ends can give rise to LLVM IR then analysis for LLVM IR can be re-used widely.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MLIR(Multi Level Intermediate Representation) is platform for modern optimizing compilers to identify an IR and apply necessary transformations on it.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has a flexible type system.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can obtain different abstract representation from source code of same compilation unit, by representing, analyzing and transforming them.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It’s design philosophy is to provide implementations of compilers from multi-level abstraction of a source code.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Lexer: Two variables are used. One to store the identifier name while the other depends if the token is string or number(double).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Tokens defined are follow the same hierarchy.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Parser: The prototypes used for the both the language is almost same(for callee, arguments and body of function).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Based on precedence of left and right side of operators, recursive the functions are called, for the given exoressions.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