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rFonts w:ascii="Arial" w:cs="Arial" w:eastAsia="Arial" w:hAnsi="Arial"/>
          <w:b/>
          <w:bCs/>
          <w:sz w:val="36"/>
          <w:szCs w:val="36"/>
        </w:rPr>
        <w:t xml:space="preserve">TIME SERIES FORECASTING ASSIGNMENT</w:t>
      </w:r>
    </w:p>
    <w:p>
      <w:pPr>
        <w:spacing w:before="480" w:after="240"/>
        <w:jc w:val="center"/>
      </w:pPr>
      <w:r>
        <w:rPr>
          <w:rFonts w:ascii="Arial" w:cs="Arial" w:eastAsia="Arial" w:hAnsi="Arial"/>
          <w:sz w:val="28"/>
          <w:szCs w:val="28"/>
        </w:rPr>
        <w:t xml:space="preserve">Stock Price Analysis and Forecasting</w:t>
      </w:r>
    </w:p>
    <w:p>
      <w:pPr>
        <w:spacing w:before="1440"/>
        <w:jc w:val="center"/>
      </w:pPr>
      <w:r>
        <w:rPr>
          <w:b/>
          <w:bCs/>
          <w:sz w:val="26"/>
          <w:szCs w:val="26"/>
        </w:rPr>
        <w:t xml:space="preserve">Companies Analyzed:</w:t>
      </w:r>
    </w:p>
    <w:p>
      <w:pPr>
        <w:jc w:val="center"/>
      </w:pPr>
      <w:r>
        <w:rPr>
          <w:sz w:val="24"/>
          <w:szCs w:val="24"/>
        </w:rPr>
        <w:t xml:space="preserve">NVIDIA Corporation (NVDA)</w:t>
      </w:r>
    </w:p>
    <w:p>
      <w:pPr>
        <w:jc w:val="center"/>
      </w:pPr>
      <w:r>
        <w:rPr>
          <w:sz w:val="24"/>
          <w:szCs w:val="24"/>
        </w:rPr>
        <w:t xml:space="preserve">Advanced Micro Devices, Inc. (AMD)</w:t>
      </w:r>
    </w:p>
    <w:p>
      <w:pPr>
        <w:jc w:val="center"/>
      </w:pPr>
      <w:r>
        <w:rPr>
          <w:sz w:val="24"/>
          <w:szCs w:val="24"/>
        </w:rPr>
        <w:t xml:space="preserve">Rivian Automotive, Inc. (RIVN)</w:t>
      </w:r>
    </w:p>
    <w:p>
      <w:pPr>
        <w:spacing w:before="960"/>
        <w:jc w:val="center"/>
      </w:pPr>
      <w:r>
        <w:rPr>
          <w:i/>
          <w:iCs/>
          <w:sz w:val="24"/>
          <w:szCs w:val="24"/>
        </w:rPr>
        <w:t xml:space="preserve">Analysis Period: January 1, 2024 – January 1, 2025</w:t>
      </w:r>
    </w:p>
    <w:p>
      <w:r>
        <w:br w:type="page"/>
      </w:r>
    </w:p>
    <w:p>
      <w:pPr>
        <w:pStyle w:val="Heading1"/>
      </w:pPr>
      <w:r>
        <w:t xml:space="preserve">Executive Summary</w:t>
      </w:r>
    </w:p>
    <w:p>
      <w:pPr>
        <w:spacing w:after="120"/>
      </w:pPr>
      <w:r>
        <w:t xml:space="preserve">This assignment explores time series forecasting applied to stock price data from three technology sector companies: NVIDIA Corporation (NVDA), Advanced Micro Devices (AMD), and Rivian Automotive (RIVN). The analysis period spans from January 1, 2024, to January 1, 2025, covering a full year of trading activity during a pivotal period for the technology and electric vehicle sectors.</w:t>
      </w:r>
    </w:p>
    <w:p>
      <w:pPr>
        <w:spacing w:after="120"/>
      </w:pPr>
      <w:r>
        <w:t xml:space="preserve">The primary objectives of this analysis were to:</w:t>
      </w:r>
    </w:p>
    <w:p>
      <w:pPr>
        <w:pStyle w:val="ListParagraph"/>
        <w:numPr>
          <w:ilvl w:val="0"/>
          <w:numId w:val="2"/>
        </w:numPr>
      </w:pPr>
      <w:r>
        <w:t xml:space="preserve">Collect and preprocess stock price data for the selected companies</w:t>
      </w:r>
    </w:p>
    <w:p>
      <w:pPr>
        <w:pStyle w:val="ListParagraph"/>
        <w:numPr>
          <w:ilvl w:val="0"/>
          <w:numId w:val="2"/>
        </w:numPr>
      </w:pPr>
      <w:r>
        <w:t xml:space="preserve">Perform comprehensive exploratory data analysis (EDA)</w:t>
      </w:r>
    </w:p>
    <w:p>
      <w:pPr>
        <w:pStyle w:val="ListParagraph"/>
        <w:numPr>
          <w:ilvl w:val="0"/>
          <w:numId w:val="2"/>
        </w:numPr>
      </w:pPr>
      <w:r>
        <w:t xml:space="preserve">Build and evaluate ARIMA and SARIMA time series models</w:t>
      </w:r>
    </w:p>
    <w:p>
      <w:pPr>
        <w:pStyle w:val="ListParagraph"/>
        <w:numPr>
          <w:ilvl w:val="0"/>
          <w:numId w:val="2"/>
        </w:numPr>
      </w:pPr>
      <w:r>
        <w:t xml:space="preserve">Assess model performance using RMSE and R² metrics</w:t>
      </w:r>
    </w:p>
    <w:p>
      <w:pPr>
        <w:pStyle w:val="ListParagraph"/>
        <w:numPr>
          <w:ilvl w:val="0"/>
          <w:numId w:val="2"/>
        </w:numPr>
      </w:pPr>
      <w:r>
        <w:t xml:space="preserve">Compare forecasting performance across different stocks</w:t>
      </w:r>
    </w:p>
    <w:p>
      <w:pPr>
        <w:spacing w:before="240" w:after="120"/>
      </w:pPr>
      <w:r>
        <w:t xml:space="preserve"/>
      </w:r>
    </w:p>
    <w:p>
      <w:pPr>
        <w:spacing w:after="120"/>
      </w:pPr>
      <w:r>
        <w:rPr>
          <w:b/>
          <w:bCs/>
        </w:rPr>
        <w:t xml:space="preserve">Key Findings:</w:t>
      </w:r>
    </w:p>
    <w:p>
      <w:pPr>
        <w:pStyle w:val="ListParagraph"/>
        <w:numPr>
          <w:ilvl w:val="0"/>
          <w:numId w:val="2"/>
        </w:numPr>
      </w:pPr>
      <w:r>
        <w:t xml:space="preserve">NVIDIA: Best model SARIMA(0,2,1)(1,0,1,5) with RMSE of 7.58 and R² of 0.34</w:t>
      </w:r>
    </w:p>
    <w:p>
      <w:pPr>
        <w:pStyle w:val="ListParagraph"/>
        <w:numPr>
          <w:ilvl w:val="0"/>
          <w:numId w:val="2"/>
        </w:numPr>
      </w:pPr>
      <w:r>
        <w:t xml:space="preserve">AMD: Best model SARIMA(1,2,2)(0,1,1,5) with RMSE of 25.15 but R² of -6.28</w:t>
      </w:r>
    </w:p>
    <w:p>
      <w:pPr>
        <w:pStyle w:val="ListParagraph"/>
        <w:numPr>
          <w:ilvl w:val="0"/>
          <w:numId w:val="2"/>
        </w:numPr>
      </w:pPr>
      <w:r>
        <w:t xml:space="preserve">RIVN: Best model SARIMA(2,0,1)(0,1,1,5) with RMSE of 1.91 and R² of -0.59</w:t>
      </w:r>
    </w:p>
    <w:p>
      <w:pPr>
        <w:pStyle w:val="ListParagraph"/>
        <w:numPr>
          <w:ilvl w:val="0"/>
          <w:numId w:val="2"/>
        </w:numPr>
      </w:pPr>
      <w:r>
        <w:t xml:space="preserve">SARIMA models significantly outperformed ARIMA models across all stocks</w:t>
      </w:r>
    </w:p>
    <w:p>
      <w:r>
        <w:br w:type="page"/>
      </w:r>
    </w:p>
    <w:p>
      <w:pPr>
        <w:pStyle w:val="Heading1"/>
      </w:pPr>
      <w:r>
        <w:t xml:space="preserve">1. Introduction and Dataset Selection</w:t>
      </w:r>
    </w:p>
    <w:p>
      <w:pPr>
        <w:pStyle w:val="Heading2"/>
      </w:pPr>
      <w:r>
        <w:t xml:space="preserve">1.1 Dataset Selection Rationale</w:t>
      </w:r>
    </w:p>
    <w:p>
      <w:pPr>
        <w:spacing w:after="120"/>
      </w:pPr>
      <w:r>
        <w:t xml:space="preserve">For this time series forecasting assignment, I selected stock prices from three companies representing significant segments of the technology sector:</w:t>
      </w:r>
    </w:p>
    <w:p>
      <w:pPr>
        <w:pStyle w:val="ListParagraph"/>
        <w:numPr>
          <w:ilvl w:val="0"/>
          <w:numId w:val="2"/>
        </w:numPr>
      </w:pPr>
      <w:r>
        <w:rPr>
          <w:b/>
          <w:bCs/>
        </w:rPr>
        <w:t xml:space="preserve">NVIDIA Corporation (NVDA): </w:t>
      </w:r>
      <w:r>
        <w:t xml:space="preserve">A leader in GPUs and AI chips, experiencing substantial growth driven by AI demand</w:t>
      </w:r>
    </w:p>
    <w:p>
      <w:pPr>
        <w:pStyle w:val="ListParagraph"/>
        <w:numPr>
          <w:ilvl w:val="0"/>
          <w:numId w:val="2"/>
        </w:numPr>
      </w:pPr>
      <w:r>
        <w:rPr>
          <w:b/>
          <w:bCs/>
        </w:rPr>
        <w:t xml:space="preserve">Advanced Micro Devices (AMD): </w:t>
      </w:r>
      <w:r>
        <w:t xml:space="preserve">A major semiconductor company competing in CPU and GPU markets</w:t>
      </w:r>
    </w:p>
    <w:p>
      <w:pPr>
        <w:pStyle w:val="ListParagraph"/>
        <w:numPr>
          <w:ilvl w:val="0"/>
          <w:numId w:val="2"/>
        </w:numPr>
      </w:pPr>
      <w:r>
        <w:rPr>
          <w:b/>
          <w:bCs/>
        </w:rPr>
        <w:t xml:space="preserve">Rivian Automotive (RIVN): </w:t>
      </w:r>
      <w:r>
        <w:t xml:space="preserve">An electric vehicle manufacturer with high growth potential and volatility</w:t>
      </w:r>
    </w:p>
    <w:p>
      <w:pPr>
        <w:pStyle w:val="Heading2"/>
      </w:pPr>
      <w:r>
        <w:t xml:space="preserve">1.2 Data Source and Collection</w:t>
      </w:r>
    </w:p>
    <w:p>
      <w:pPr>
        <w:spacing w:after="120"/>
      </w:pPr>
      <w:r>
        <w:t xml:space="preserve">Data was sourced from Yahoo Finance using the yfinance Python library. The dataset covers January 1, 2024, to January 1, 2025, comprising one full year of daily trading data. Each dataset includes:</w:t>
      </w:r>
    </w:p>
    <w:p>
      <w:pPr>
        <w:pStyle w:val="ListParagraph"/>
        <w:numPr>
          <w:ilvl w:val="0"/>
          <w:numId w:val="2"/>
        </w:numPr>
      </w:pPr>
      <w:r>
        <w:t xml:space="preserve">Date: The specific trading day</w:t>
      </w:r>
    </w:p>
    <w:p>
      <w:pPr>
        <w:pStyle w:val="ListParagraph"/>
        <w:numPr>
          <w:ilvl w:val="0"/>
          <w:numId w:val="2"/>
        </w:numPr>
      </w:pPr>
      <w:r>
        <w:t xml:space="preserve">Open: Stock price at market opening</w:t>
      </w:r>
    </w:p>
    <w:p>
      <w:pPr>
        <w:pStyle w:val="ListParagraph"/>
        <w:numPr>
          <w:ilvl w:val="0"/>
          <w:numId w:val="2"/>
        </w:numPr>
      </w:pPr>
      <w:r>
        <w:t xml:space="preserve">High: Highest price during the trading day</w:t>
      </w:r>
    </w:p>
    <w:p>
      <w:pPr>
        <w:pStyle w:val="ListParagraph"/>
        <w:numPr>
          <w:ilvl w:val="0"/>
          <w:numId w:val="2"/>
        </w:numPr>
      </w:pPr>
      <w:r>
        <w:t xml:space="preserve">Low: Lowest price during the trading day</w:t>
      </w:r>
    </w:p>
    <w:p>
      <w:pPr>
        <w:pStyle w:val="ListParagraph"/>
        <w:numPr>
          <w:ilvl w:val="0"/>
          <w:numId w:val="2"/>
        </w:numPr>
      </w:pPr>
      <w:r>
        <w:t xml:space="preserve">Close: Final price at market close (primary variable for forecasting)</w:t>
      </w:r>
    </w:p>
    <w:p>
      <w:pPr>
        <w:pStyle w:val="ListParagraph"/>
        <w:numPr>
          <w:ilvl w:val="0"/>
          <w:numId w:val="2"/>
        </w:numPr>
      </w:pPr>
      <w:r>
        <w:t xml:space="preserve">Volume: Total shares traded, indicating market activity</w:t>
      </w:r>
    </w:p>
    <w:p>
      <w:r>
        <w:br w:type="page"/>
      </w:r>
    </w:p>
    <w:p>
      <w:pPr>
        <w:pStyle w:val="Heading1"/>
      </w:pPr>
      <w:r>
        <w:t xml:space="preserve">2. NVIDIA Corporation (NVDA) Analysis</w:t>
      </w:r>
    </w:p>
    <w:p>
      <w:pPr>
        <w:pStyle w:val="Heading2"/>
      </w:pPr>
      <w:r>
        <w:t xml:space="preserve">2.1 Exploratory Data Analysis</w:t>
      </w:r>
    </w:p>
    <w:p>
      <w:pPr>
        <w:pStyle w:val="Heading3"/>
      </w:pPr>
      <w:r>
        <w:t xml:space="preserve">2.1.1 Univariate Analysis</w:t>
      </w:r>
    </w:p>
    <w:p>
      <w:pPr>
        <w:spacing w:after="120"/>
      </w:pPr>
      <w:r>
        <w:t xml:space="preserve">Histogram and boxplot analysis revealed:</w:t>
      </w:r>
    </w:p>
    <w:p>
      <w:pPr>
        <w:pStyle w:val="ListParagraph"/>
        <w:numPr>
          <w:ilvl w:val="0"/>
          <w:numId w:val="2"/>
        </w:numPr>
      </w:pPr>
      <w:r>
        <w:t xml:space="preserve">Open, High, Low, Close: Bimodal distributions with peaks at $95-105 and $120-135</w:t>
      </w:r>
    </w:p>
    <w:p>
      <w:pPr>
        <w:pStyle w:val="ListParagraph"/>
        <w:numPr>
          <w:ilvl w:val="0"/>
          <w:numId w:val="2"/>
        </w:numPr>
      </w:pPr>
      <w:r>
        <w:t xml:space="preserve">Volume: Right-skewed with outliers indicating intense trading activity</w:t>
      </w:r>
    </w:p>
    <w:p>
      <w:pPr>
        <w:pStyle w:val="Heading3"/>
      </w:pPr>
      <w:r>
        <w:t xml:space="preserve">2.1.2 Bivariate Analysis</w:t>
      </w:r>
    </w:p>
    <w:p>
      <w:pPr>
        <w:spacing w:after="120"/>
      </w:pPr>
      <w:r>
        <w:t xml:space="preserve">Correlation matrix findings:</w:t>
      </w:r>
    </w:p>
    <w:p>
      <w:pPr>
        <w:pStyle w:val="ListParagraph"/>
        <w:numPr>
          <w:ilvl w:val="0"/>
          <w:numId w:val="2"/>
        </w:numPr>
      </w:pPr>
      <w:r>
        <w:t xml:space="preserve">Price Variables: Strong positive correlations (close to 1.00)</w:t>
      </w:r>
    </w:p>
    <w:p>
      <w:pPr>
        <w:pStyle w:val="ListParagraph"/>
        <w:numPr>
          <w:ilvl w:val="0"/>
          <w:numId w:val="2"/>
        </w:numPr>
      </w:pPr>
      <w:r>
        <w:t xml:space="preserve">Volume vs. Price: Moderate negative correlation (-0.62 to -0.66)</w:t>
      </w:r>
    </w:p>
    <w:p>
      <w:pPr>
        <w:pStyle w:val="Heading3"/>
      </w:pPr>
      <w:r>
        <w:t xml:space="preserve">2.1.3 Multivariate Analysis</w:t>
      </w:r>
    </w:p>
    <w:p>
      <w:pPr>
        <w:spacing w:after="120"/>
      </w:pPr>
      <w:r>
        <w:t xml:space="preserve">Hypothesis: Higher trading volume associated with lower opening prices. Analysis confirmed a visible negative relationship with volume increase corresponding to opening price decrease.</w:t>
      </w:r>
    </w:p>
    <w:p>
      <w:pPr>
        <w:pStyle w:val="Heading2"/>
      </w:pPr>
      <w:r>
        <w:t xml:space="preserve">2.2 Time Series Decomposition</w:t>
      </w:r>
    </w:p>
    <w:p>
      <w:pPr>
        <w:spacing w:after="120"/>
      </w:pPr>
      <w:r>
        <w:t xml:space="preserve">Seasonal decomposition (30-day period) revealed:</w:t>
      </w:r>
    </w:p>
    <w:p>
      <w:pPr>
        <w:pStyle w:val="ListParagraph"/>
        <w:numPr>
          <w:ilvl w:val="0"/>
          <w:numId w:val="2"/>
        </w:numPr>
      </w:pPr>
      <w:r>
        <w:t xml:space="preserve">Trend: Strong upward trajectory with flattening July-September, then resumed growth</w:t>
      </w:r>
    </w:p>
    <w:p>
      <w:pPr>
        <w:pStyle w:val="ListParagraph"/>
        <w:numPr>
          <w:ilvl w:val="0"/>
          <w:numId w:val="2"/>
        </w:numPr>
      </w:pPr>
      <w:r>
        <w:t xml:space="preserve">Seasonality: Minor cyclic monthly patterns</w:t>
      </w:r>
    </w:p>
    <w:p>
      <w:pPr>
        <w:pStyle w:val="ListParagraph"/>
        <w:numPr>
          <w:ilvl w:val="0"/>
          <w:numId w:val="2"/>
        </w:numPr>
      </w:pPr>
      <w:r>
        <w:t xml:space="preserve">Residuals: Irregular spikes in June, July, September indicating external events</w:t>
      </w:r>
    </w:p>
    <w:p>
      <w:pPr>
        <w:pStyle w:val="Heading2"/>
      </w:pPr>
      <w:r>
        <w:t xml:space="preserve">2.3 Stationarity and Model Selection</w:t>
      </w:r>
    </w:p>
    <w:p>
      <w:pPr>
        <w:spacing w:after="120"/>
      </w:pPr>
      <w:r>
        <w:t xml:space="preserve">ADF Test Results:</w:t>
      </w:r>
    </w:p>
    <w:p>
      <w:pPr>
        <w:pStyle w:val="ListParagraph"/>
        <w:numPr>
          <w:ilvl w:val="0"/>
          <w:numId w:val="2"/>
        </w:numPr>
      </w:pPr>
      <w:r>
        <w:t xml:space="preserve">Original Series: p-value = 0.3447 (non-stationary)</w:t>
      </w:r>
    </w:p>
    <w:p>
      <w:pPr>
        <w:pStyle w:val="ListParagraph"/>
        <w:numPr>
          <w:ilvl w:val="0"/>
          <w:numId w:val="2"/>
        </w:numPr>
      </w:pPr>
      <w:r>
        <w:t xml:space="preserve">First-Order Differenced: p-value = 1.15e-27 (stationary)</w:t>
      </w:r>
    </w:p>
    <w:p>
      <w:pPr>
        <w:spacing w:before="120"/>
      </w:pPr>
      <w:r>
        <w:t xml:space="preserve"/>
      </w:r>
    </w:p>
    <w:p>
      <w:pPr>
        <w:spacing w:after="120"/>
      </w:pPr>
      <w:r>
        <w:t xml:space="preserve">ACF/PACF analysis suggested ARIMA(1,1,0) with p=1 and q=0.</w:t>
      </w:r>
    </w:p>
    <w:p>
      <w:pPr>
        <w:pStyle w:val="Heading2"/>
      </w:pPr>
      <w:r>
        <w:t xml:space="preserve">2.4 Model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900"/>
        <w:gridCol w:w="2730"/>
        <w:gridCol w:w="2730"/>
      </w:tblGrid>
      <w:tr>
        <w:tc>
          <w:tcPr>
            <w:tcW w:type="dxa" w:w="3900"/>
            <w:shd w:fill="4472C4" w:val="clear"/>
            <w:tcMar>
              <w:top w:type="dxa" w:w="80"/>
              <w:left w:type="dxa" w:w="120"/>
              <w:bottom w:type="dxa" w:w="80"/>
              <w:right w:type="dxa" w:w="120"/>
            </w:tcMar>
          </w:tcPr>
          <w:p>
            <w:r>
              <w:rPr>
                <w:b/>
                <w:bCs/>
                <w:color w:val="FFFFFF"/>
              </w:rPr>
              <w:t xml:space="preserve">Model</w:t>
            </w:r>
          </w:p>
        </w:tc>
        <w:tc>
          <w:tcPr>
            <w:tcW w:type="dxa" w:w="2730"/>
            <w:shd w:fill="4472C4" w:val="clear"/>
            <w:tcMar>
              <w:top w:type="dxa" w:w="80"/>
              <w:left w:type="dxa" w:w="120"/>
              <w:bottom w:type="dxa" w:w="80"/>
              <w:right w:type="dxa" w:w="120"/>
            </w:tcMar>
          </w:tcPr>
          <w:p>
            <w:r>
              <w:rPr>
                <w:b/>
                <w:bCs/>
                <w:color w:val="FFFFFF"/>
              </w:rPr>
              <w:t xml:space="preserve">RMSE</w:t>
            </w:r>
          </w:p>
        </w:tc>
        <w:tc>
          <w:tcPr>
            <w:tcW w:type="dxa" w:w="2730"/>
            <w:shd w:fill="4472C4" w:val="clear"/>
            <w:tcMar>
              <w:top w:type="dxa" w:w="80"/>
              <w:left w:type="dxa" w:w="120"/>
              <w:bottom w:type="dxa" w:w="80"/>
              <w:right w:type="dxa" w:w="120"/>
            </w:tcMar>
          </w:tcPr>
          <w:p>
            <w:r>
              <w:rPr>
                <w:b/>
                <w:bCs/>
                <w:color w:val="FFFFFF"/>
              </w:rPr>
              <w:t xml:space="preserve">R²</w:t>
            </w:r>
          </w:p>
        </w:tc>
      </w:tr>
      <w:tr>
        <w:tc>
          <w:tcPr>
            <w:tcW w:type="dxa" w:w="3900"/>
            <w:shd w:fill="F2F2F2" w:val="clear"/>
            <w:tcMar>
              <w:top w:type="dxa" w:w="80"/>
              <w:left w:type="dxa" w:w="120"/>
              <w:bottom w:type="dxa" w:w="80"/>
              <w:right w:type="dxa" w:w="120"/>
            </w:tcMar>
          </w:tcPr>
          <w:p>
            <w:r>
              <w:t xml:space="preserve">ARIMA(1,1,0)</w:t>
            </w:r>
          </w:p>
        </w:tc>
        <w:tc>
          <w:tcPr>
            <w:tcW w:type="dxa" w:w="2730"/>
            <w:shd w:fill="F2F2F2" w:val="clear"/>
            <w:tcMar>
              <w:top w:type="dxa" w:w="80"/>
              <w:left w:type="dxa" w:w="120"/>
              <w:bottom w:type="dxa" w:w="80"/>
              <w:right w:type="dxa" w:w="120"/>
            </w:tcMar>
          </w:tcPr>
          <w:p>
            <w:r>
              <w:t xml:space="preserve">18.46</w:t>
            </w:r>
          </w:p>
        </w:tc>
        <w:tc>
          <w:tcPr>
            <w:tcW w:type="dxa" w:w="2730"/>
            <w:shd w:fill="F2F2F2" w:val="clear"/>
            <w:tcMar>
              <w:top w:type="dxa" w:w="80"/>
              <w:left w:type="dxa" w:w="120"/>
              <w:bottom w:type="dxa" w:w="80"/>
              <w:right w:type="dxa" w:w="120"/>
            </w:tcMar>
          </w:tcPr>
          <w:p>
            <w:r>
              <w:t xml:space="preserve">-2.92</w:t>
            </w:r>
          </w:p>
        </w:tc>
      </w:tr>
      <w:tr>
        <w:tc>
          <w:tcPr>
            <w:tcW w:type="dxa" w:w="3900"/>
            <w:tcMar>
              <w:top w:type="dxa" w:w="80"/>
              <w:left w:type="dxa" w:w="120"/>
              <w:bottom w:type="dxa" w:w="80"/>
              <w:right w:type="dxa" w:w="120"/>
            </w:tcMar>
          </w:tcPr>
          <w:p>
            <w:r>
              <w:t xml:space="preserve">ARIMA(2,1,0)</w:t>
            </w:r>
          </w:p>
        </w:tc>
        <w:tc>
          <w:tcPr>
            <w:tcW w:type="dxa" w:w="2730"/>
            <w:tcMar>
              <w:top w:type="dxa" w:w="80"/>
              <w:left w:type="dxa" w:w="120"/>
              <w:bottom w:type="dxa" w:w="80"/>
              <w:right w:type="dxa" w:w="120"/>
            </w:tcMar>
          </w:tcPr>
          <w:p>
            <w:r>
              <w:t xml:space="preserve">17.45</w:t>
            </w:r>
          </w:p>
        </w:tc>
        <w:tc>
          <w:tcPr>
            <w:tcW w:type="dxa" w:w="2730"/>
            <w:tcMar>
              <w:top w:type="dxa" w:w="80"/>
              <w:left w:type="dxa" w:w="120"/>
              <w:bottom w:type="dxa" w:w="80"/>
              <w:right w:type="dxa" w:w="120"/>
            </w:tcMar>
          </w:tcPr>
          <w:p>
            <w:r>
              <w:t xml:space="preserve">-2.50</w:t>
            </w:r>
          </w:p>
        </w:tc>
      </w:tr>
      <w:tr>
        <w:tc>
          <w:tcPr>
            <w:tcW w:type="dxa" w:w="3900"/>
            <w:shd w:fill="D5E8F0" w:val="clear"/>
            <w:tcMar>
              <w:top w:type="dxa" w:w="80"/>
              <w:left w:type="dxa" w:w="120"/>
              <w:bottom w:type="dxa" w:w="80"/>
              <w:right w:type="dxa" w:w="120"/>
            </w:tcMar>
          </w:tcPr>
          <w:p>
            <w:r>
              <w:rPr>
                <w:b/>
                <w:bCs/>
              </w:rPr>
              <w:t xml:space="preserve">SARIMA(0,2,1)(1,0,1,5) ★</w:t>
            </w:r>
          </w:p>
        </w:tc>
        <w:tc>
          <w:tcPr>
            <w:tcW w:type="dxa" w:w="2730"/>
            <w:shd w:fill="D5E8F0" w:val="clear"/>
            <w:tcMar>
              <w:top w:type="dxa" w:w="80"/>
              <w:left w:type="dxa" w:w="120"/>
              <w:bottom w:type="dxa" w:w="80"/>
              <w:right w:type="dxa" w:w="120"/>
            </w:tcMar>
          </w:tcPr>
          <w:p>
            <w:r>
              <w:rPr>
                <w:b/>
                <w:bCs/>
              </w:rPr>
              <w:t xml:space="preserve">7.58</w:t>
            </w:r>
          </w:p>
        </w:tc>
        <w:tc>
          <w:tcPr>
            <w:tcW w:type="dxa" w:w="2730"/>
            <w:shd w:fill="D5E8F0" w:val="clear"/>
            <w:tcMar>
              <w:top w:type="dxa" w:w="80"/>
              <w:left w:type="dxa" w:w="120"/>
              <w:bottom w:type="dxa" w:w="80"/>
              <w:right w:type="dxa" w:w="120"/>
            </w:tcMar>
          </w:tcPr>
          <w:p>
            <w:r>
              <w:rPr>
                <w:b/>
                <w:bCs/>
              </w:rPr>
              <w:t xml:space="preserve">0.34</w:t>
            </w:r>
          </w:p>
        </w:tc>
      </w:tr>
      <w:tr>
        <w:tc>
          <w:tcPr>
            <w:tcW w:type="dxa" w:w="3900"/>
            <w:tcMar>
              <w:top w:type="dxa" w:w="80"/>
              <w:left w:type="dxa" w:w="120"/>
              <w:bottom w:type="dxa" w:w="80"/>
              <w:right w:type="dxa" w:w="120"/>
            </w:tcMar>
          </w:tcPr>
          <w:p>
            <w:r>
              <w:t xml:space="preserve">SARIMA(2,1,0)(1,1,0,5)</w:t>
            </w:r>
          </w:p>
        </w:tc>
        <w:tc>
          <w:tcPr>
            <w:tcW w:type="dxa" w:w="2730"/>
            <w:tcMar>
              <w:top w:type="dxa" w:w="80"/>
              <w:left w:type="dxa" w:w="120"/>
              <w:bottom w:type="dxa" w:w="80"/>
              <w:right w:type="dxa" w:w="120"/>
            </w:tcMar>
          </w:tcPr>
          <w:p>
            <w:r>
              <w:t xml:space="preserve">10.15</w:t>
            </w:r>
          </w:p>
        </w:tc>
        <w:tc>
          <w:tcPr>
            <w:tcW w:type="dxa" w:w="2730"/>
            <w:tcMar>
              <w:top w:type="dxa" w:w="80"/>
              <w:left w:type="dxa" w:w="120"/>
              <w:bottom w:type="dxa" w:w="80"/>
              <w:right w:type="dxa" w:w="120"/>
            </w:tcMar>
          </w:tcPr>
          <w:p>
            <w:r>
              <w:t xml:space="preserve">-0.18</w:t>
            </w:r>
          </w:p>
        </w:tc>
      </w:tr>
    </w:tbl>
    <w:p>
      <w:pPr>
        <w:spacing w:before="240"/>
      </w:pPr>
      <w:r>
        <w:t xml:space="preserve"/>
      </w:r>
    </w:p>
    <w:p>
      <w:pPr>
        <w:spacing w:after="120"/>
      </w:pPr>
      <w:r>
        <w:t xml:space="preserve">The SARIMA(0,2,1)(1,0,1,5) model was the best performer, achieving RMSE of 7.58 and R² of 0.34, explaining approximately 34% of price variance. Second-order differencing and weekly seasonality (5 trading days) were crucial for this performance.</w:t>
      </w:r>
    </w:p>
    <w:p>
      <w:pPr>
        <w:pStyle w:val="Heading2"/>
      </w:pPr>
      <w:r>
        <w:t xml:space="preserve">2.5 Conclusions</w:t>
      </w:r>
    </w:p>
    <w:p>
      <w:pPr>
        <w:spacing/>
      </w:pPr>
      <w:r>
        <w:t xml:space="preserve">NVIDIA was the most predictable stock, likely due to its strong, consistent upward trend driven by AI demand. However, even the best model struggled with short-term volatility, highlighting challenges in capturing irregular market reactions to news and external events.</w:t>
      </w:r>
    </w:p>
    <w:p>
      <w:r>
        <w:br w:type="page"/>
      </w:r>
    </w:p>
    <w:p>
      <w:pPr>
        <w:pStyle w:val="Heading1"/>
      </w:pPr>
      <w:r>
        <w:t xml:space="preserve">3. Advanced Micro Devices (AMD) Analysis</w:t>
      </w:r>
    </w:p>
    <w:p>
      <w:pPr>
        <w:pStyle w:val="Heading2"/>
      </w:pPr>
      <w:r>
        <w:t xml:space="preserve">3.1 Exploratory Data Analysis</w:t>
      </w:r>
    </w:p>
    <w:p>
      <w:pPr>
        <w:spacing w:after="120"/>
      </w:pPr>
      <w:r>
        <w:t xml:space="preserve">AMD exhibited similar patterns to NVIDIA but with distinct differences:</w:t>
      </w:r>
    </w:p>
    <w:p>
      <w:pPr>
        <w:pStyle w:val="ListParagraph"/>
        <w:numPr>
          <w:ilvl w:val="0"/>
          <w:numId w:val="2"/>
        </w:numPr>
      </w:pPr>
      <w:r>
        <w:t xml:space="preserve">Price distributions slightly right-skewed, concentrated $90-$170 with outliers above $200</w:t>
      </w:r>
    </w:p>
    <w:p>
      <w:pPr>
        <w:pStyle w:val="ListParagraph"/>
        <w:numPr>
          <w:ilvl w:val="0"/>
          <w:numId w:val="2"/>
        </w:numPr>
      </w:pPr>
      <w:r>
        <w:t xml:space="preserve">Volume highly right-skewed with significant outliers</w:t>
      </w:r>
    </w:p>
    <w:p>
      <w:pPr>
        <w:pStyle w:val="ListParagraph"/>
        <w:numPr>
          <w:ilvl w:val="0"/>
          <w:numId w:val="2"/>
        </w:numPr>
      </w:pPr>
      <w:r>
        <w:t xml:space="preserve">Moderate positive correlation (0.40-0.49) between volume and prices (vs. NVIDIA's negative correlation)</w:t>
      </w:r>
    </w:p>
    <w:p>
      <w:pPr>
        <w:pStyle w:val="Heading2"/>
      </w:pPr>
      <w:r>
        <w:t xml:space="preserve">3.2 Time Series Decomposition</w:t>
      </w:r>
    </w:p>
    <w:p>
      <w:pPr>
        <w:spacing w:after="120"/>
      </w:pPr>
      <w:r>
        <w:t xml:space="preserve">Decomposition revealed:</w:t>
      </w:r>
    </w:p>
    <w:p>
      <w:pPr>
        <w:pStyle w:val="ListParagraph"/>
        <w:numPr>
          <w:ilvl w:val="0"/>
          <w:numId w:val="2"/>
        </w:numPr>
      </w:pPr>
      <w:r>
        <w:t xml:space="preserve">Trend: Q1 upward movement, Q2 downward correction, then stabilization</w:t>
      </w:r>
    </w:p>
    <w:p>
      <w:pPr>
        <w:pStyle w:val="ListParagraph"/>
        <w:numPr>
          <w:ilvl w:val="0"/>
          <w:numId w:val="2"/>
        </w:numPr>
      </w:pPr>
      <w:r>
        <w:t xml:space="preserve">Seasonality: Clear weekly cycles</w:t>
      </w:r>
    </w:p>
    <w:p>
      <w:pPr>
        <w:pStyle w:val="ListParagraph"/>
        <w:numPr>
          <w:ilvl w:val="0"/>
          <w:numId w:val="2"/>
        </w:numPr>
      </w:pPr>
      <w:r>
        <w:t xml:space="preserve">Residuals: Irregular spikes throughout the year</w:t>
      </w:r>
    </w:p>
    <w:p>
      <w:pPr>
        <w:pStyle w:val="Heading2"/>
      </w:pPr>
      <w:r>
        <w:t xml:space="preserve">3.3 Stationarity Testing</w:t>
      </w:r>
    </w:p>
    <w:p>
      <w:pPr>
        <w:spacing w:after="120"/>
      </w:pPr>
      <w:r>
        <w:t xml:space="preserve">ADF Test Results:</w:t>
      </w:r>
    </w:p>
    <w:p>
      <w:pPr>
        <w:pStyle w:val="ListParagraph"/>
        <w:numPr>
          <w:ilvl w:val="0"/>
          <w:numId w:val="2"/>
        </w:numPr>
      </w:pPr>
      <w:r>
        <w:t xml:space="preserve">Original: p-value = 0.2868 (non-stationary)</w:t>
      </w:r>
    </w:p>
    <w:p>
      <w:pPr>
        <w:pStyle w:val="ListParagraph"/>
        <w:numPr>
          <w:ilvl w:val="0"/>
          <w:numId w:val="2"/>
        </w:numPr>
      </w:pPr>
      <w:r>
        <w:t xml:space="preserve">First-Order Differenced: p-value = 7.62e-30 (stationary)</w:t>
      </w:r>
    </w:p>
    <w:p>
      <w:pPr>
        <w:pStyle w:val="Heading2"/>
      </w:pPr>
      <w:r>
        <w:t xml:space="preserve">3.4 Model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900"/>
        <w:gridCol w:w="2730"/>
        <w:gridCol w:w="2730"/>
      </w:tblGrid>
      <w:tr>
        <w:tc>
          <w:tcPr>
            <w:tcW w:type="dxa" w:w="3900"/>
            <w:shd w:fill="4472C4" w:val="clear"/>
            <w:tcMar>
              <w:top w:type="dxa" w:w="80"/>
              <w:left w:type="dxa" w:w="120"/>
              <w:bottom w:type="dxa" w:w="80"/>
              <w:right w:type="dxa" w:w="120"/>
            </w:tcMar>
          </w:tcPr>
          <w:p>
            <w:r>
              <w:rPr>
                <w:b/>
                <w:bCs/>
                <w:color w:val="FFFFFF"/>
              </w:rPr>
              <w:t xml:space="preserve">Model</w:t>
            </w:r>
          </w:p>
        </w:tc>
        <w:tc>
          <w:tcPr>
            <w:tcW w:type="dxa" w:w="2730"/>
            <w:shd w:fill="4472C4" w:val="clear"/>
            <w:tcMar>
              <w:top w:type="dxa" w:w="80"/>
              <w:left w:type="dxa" w:w="120"/>
              <w:bottom w:type="dxa" w:w="80"/>
              <w:right w:type="dxa" w:w="120"/>
            </w:tcMar>
          </w:tcPr>
          <w:p>
            <w:r>
              <w:rPr>
                <w:b/>
                <w:bCs/>
                <w:color w:val="FFFFFF"/>
              </w:rPr>
              <w:t xml:space="preserve">RMSE</w:t>
            </w:r>
          </w:p>
        </w:tc>
        <w:tc>
          <w:tcPr>
            <w:tcW w:type="dxa" w:w="2730"/>
            <w:shd w:fill="4472C4" w:val="clear"/>
            <w:tcMar>
              <w:top w:type="dxa" w:w="80"/>
              <w:left w:type="dxa" w:w="120"/>
              <w:bottom w:type="dxa" w:w="80"/>
              <w:right w:type="dxa" w:w="120"/>
            </w:tcMar>
          </w:tcPr>
          <w:p>
            <w:r>
              <w:rPr>
                <w:b/>
                <w:bCs/>
                <w:color w:val="FFFFFF"/>
              </w:rPr>
              <w:t xml:space="preserve">R²</w:t>
            </w:r>
          </w:p>
        </w:tc>
      </w:tr>
      <w:tr>
        <w:tc>
          <w:tcPr>
            <w:tcW w:type="dxa" w:w="3900"/>
            <w:shd w:fill="F2F2F2" w:val="clear"/>
            <w:tcMar>
              <w:top w:type="dxa" w:w="80"/>
              <w:left w:type="dxa" w:w="120"/>
              <w:bottom w:type="dxa" w:w="80"/>
              <w:right w:type="dxa" w:w="120"/>
            </w:tcMar>
          </w:tcPr>
          <w:p>
            <w:r>
              <w:t xml:space="preserve">ARIMA(1,1,0)</w:t>
            </w:r>
          </w:p>
        </w:tc>
        <w:tc>
          <w:tcPr>
            <w:tcW w:type="dxa" w:w="2730"/>
            <w:shd w:fill="F2F2F2" w:val="clear"/>
            <w:tcMar>
              <w:top w:type="dxa" w:w="80"/>
              <w:left w:type="dxa" w:w="120"/>
              <w:bottom w:type="dxa" w:w="80"/>
              <w:right w:type="dxa" w:w="120"/>
            </w:tcMar>
          </w:tcPr>
          <w:p>
            <w:r>
              <w:t xml:space="preserve">18.46</w:t>
            </w:r>
          </w:p>
        </w:tc>
        <w:tc>
          <w:tcPr>
            <w:tcW w:type="dxa" w:w="2730"/>
            <w:shd w:fill="F2F2F2" w:val="clear"/>
            <w:tcMar>
              <w:top w:type="dxa" w:w="80"/>
              <w:left w:type="dxa" w:w="120"/>
              <w:bottom w:type="dxa" w:w="80"/>
              <w:right w:type="dxa" w:w="120"/>
            </w:tcMar>
          </w:tcPr>
          <w:p>
            <w:r>
              <w:t xml:space="preserve">-2.92</w:t>
            </w:r>
          </w:p>
        </w:tc>
      </w:tr>
      <w:tr>
        <w:tc>
          <w:tcPr>
            <w:tcW w:type="dxa" w:w="3900"/>
            <w:tcMar>
              <w:top w:type="dxa" w:w="80"/>
              <w:left w:type="dxa" w:w="120"/>
              <w:bottom w:type="dxa" w:w="80"/>
              <w:right w:type="dxa" w:w="120"/>
            </w:tcMar>
          </w:tcPr>
          <w:p>
            <w:r>
              <w:t xml:space="preserve">ARIMA(2,1,2)</w:t>
            </w:r>
          </w:p>
        </w:tc>
        <w:tc>
          <w:tcPr>
            <w:tcW w:type="dxa" w:w="2730"/>
            <w:tcMar>
              <w:top w:type="dxa" w:w="80"/>
              <w:left w:type="dxa" w:w="120"/>
              <w:bottom w:type="dxa" w:w="80"/>
              <w:right w:type="dxa" w:w="120"/>
            </w:tcMar>
          </w:tcPr>
          <w:p>
            <w:r>
              <w:t xml:space="preserve">16.87</w:t>
            </w:r>
          </w:p>
        </w:tc>
        <w:tc>
          <w:tcPr>
            <w:tcW w:type="dxa" w:w="2730"/>
            <w:tcMar>
              <w:top w:type="dxa" w:w="80"/>
              <w:left w:type="dxa" w:w="120"/>
              <w:bottom w:type="dxa" w:w="80"/>
              <w:right w:type="dxa" w:w="120"/>
            </w:tcMar>
          </w:tcPr>
          <w:p>
            <w:r>
              <w:t xml:space="preserve">-2.27</w:t>
            </w:r>
          </w:p>
        </w:tc>
      </w:tr>
      <w:tr>
        <w:tc>
          <w:tcPr>
            <w:tcW w:type="dxa" w:w="3900"/>
            <w:shd w:fill="D5E8F0" w:val="clear"/>
            <w:tcMar>
              <w:top w:type="dxa" w:w="80"/>
              <w:left w:type="dxa" w:w="120"/>
              <w:bottom w:type="dxa" w:w="80"/>
              <w:right w:type="dxa" w:w="120"/>
            </w:tcMar>
          </w:tcPr>
          <w:p>
            <w:r>
              <w:rPr>
                <w:b/>
                <w:bCs/>
              </w:rPr>
              <w:t xml:space="preserve">SARIMA(1,2,2)(0,1,1,5) ★</w:t>
            </w:r>
          </w:p>
        </w:tc>
        <w:tc>
          <w:tcPr>
            <w:tcW w:type="dxa" w:w="2730"/>
            <w:shd w:fill="D5E8F0" w:val="clear"/>
            <w:tcMar>
              <w:top w:type="dxa" w:w="80"/>
              <w:left w:type="dxa" w:w="120"/>
              <w:bottom w:type="dxa" w:w="80"/>
              <w:right w:type="dxa" w:w="120"/>
            </w:tcMar>
          </w:tcPr>
          <w:p>
            <w:r>
              <w:rPr>
                <w:b/>
                <w:bCs/>
              </w:rPr>
              <w:t xml:space="preserve">25.15</w:t>
            </w:r>
          </w:p>
        </w:tc>
        <w:tc>
          <w:tcPr>
            <w:tcW w:type="dxa" w:w="2730"/>
            <w:shd w:fill="D5E8F0" w:val="clear"/>
            <w:tcMar>
              <w:top w:type="dxa" w:w="80"/>
              <w:left w:type="dxa" w:w="120"/>
              <w:bottom w:type="dxa" w:w="80"/>
              <w:right w:type="dxa" w:w="120"/>
            </w:tcMar>
          </w:tcPr>
          <w:p>
            <w:r>
              <w:rPr>
                <w:b/>
                <w:bCs/>
              </w:rPr>
              <w:t xml:space="preserve">-6.28</w:t>
            </w:r>
          </w:p>
        </w:tc>
      </w:tr>
    </w:tbl>
    <w:p>
      <w:pPr>
        <w:spacing w:before="240"/>
      </w:pPr>
      <w:r>
        <w:t xml:space="preserve"/>
      </w:r>
    </w:p>
    <w:p>
      <w:pPr>
        <w:spacing w:after="120"/>
      </w:pPr>
      <w:r>
        <w:t xml:space="preserve">Despite incorporating seasonality, AMD models showed poor performance. High volatility and sharp price swings proved difficult for SARIMA models to capture, suggesting external factors like competitive dynamics and product cycles heavily influence AMD's stock.</w:t>
      </w:r>
    </w:p>
    <w:p>
      <w:r>
        <w:br w:type="page"/>
      </w:r>
    </w:p>
    <w:p>
      <w:pPr>
        <w:pStyle w:val="Heading1"/>
      </w:pPr>
      <w:r>
        <w:t xml:space="preserve">4. Rivian Automotive (RIVN) Analysis</w:t>
      </w:r>
    </w:p>
    <w:p>
      <w:pPr>
        <w:pStyle w:val="Heading2"/>
      </w:pPr>
      <w:r>
        <w:t xml:space="preserve">4.1 Exploratory Data Analysis</w:t>
      </w:r>
    </w:p>
    <w:p>
      <w:pPr>
        <w:spacing w:after="120"/>
      </w:pPr>
      <w:r>
        <w:t xml:space="preserve">RIVN showed distinct characteristics:</w:t>
      </w:r>
    </w:p>
    <w:p>
      <w:pPr>
        <w:pStyle w:val="ListParagraph"/>
        <w:numPr>
          <w:ilvl w:val="0"/>
          <w:numId w:val="2"/>
        </w:numPr>
      </w:pPr>
      <w:r>
        <w:t xml:space="preserve">Lower price range ($15-$25) compared to NVDA and AMD</w:t>
      </w:r>
    </w:p>
    <w:p>
      <w:pPr>
        <w:pStyle w:val="ListParagraph"/>
        <w:numPr>
          <w:ilvl w:val="0"/>
          <w:numId w:val="2"/>
        </w:numPr>
      </w:pPr>
      <w:r>
        <w:t xml:space="preserve">Highly variable volume with extreme outliers</w:t>
      </w:r>
    </w:p>
    <w:p>
      <w:pPr>
        <w:pStyle w:val="ListParagraph"/>
        <w:numPr>
          <w:ilvl w:val="0"/>
          <w:numId w:val="2"/>
        </w:numPr>
      </w:pPr>
      <w:r>
        <w:t xml:space="preserve">Weak volume-price correlations indicating volume independence from price levels</w:t>
      </w:r>
    </w:p>
    <w:p>
      <w:pPr>
        <w:pStyle w:val="Heading2"/>
      </w:pPr>
      <w:r>
        <w:t xml:space="preserve">4.2 Market Context</w:t>
      </w:r>
    </w:p>
    <w:p>
      <w:pPr>
        <w:spacing w:after="120"/>
      </w:pPr>
      <w:r>
        <w:t xml:space="preserve">Rivian's 2024 performance was influenced by:</w:t>
      </w:r>
    </w:p>
    <w:p>
      <w:pPr>
        <w:pStyle w:val="ListParagraph"/>
        <w:numPr>
          <w:ilvl w:val="0"/>
          <w:numId w:val="2"/>
        </w:numPr>
      </w:pPr>
      <w:r>
        <w:t xml:space="preserve">Production challenges contributing to 43% decline</w:t>
      </w:r>
    </w:p>
    <w:p>
      <w:pPr>
        <w:pStyle w:val="ListParagraph"/>
        <w:numPr>
          <w:ilvl w:val="0"/>
          <w:numId w:val="2"/>
        </w:numPr>
      </w:pPr>
      <w:r>
        <w:t xml:space="preserve">Expansion beyond Amazon received positive reception</w:t>
      </w:r>
    </w:p>
    <w:p>
      <w:pPr>
        <w:pStyle w:val="ListParagraph"/>
        <w:numPr>
          <w:ilvl w:val="0"/>
          <w:numId w:val="2"/>
        </w:numPr>
      </w:pPr>
      <w:r>
        <w:t xml:space="preserve">$6.6B DOE loan extension triggered 22% surge (November)</w:t>
      </w:r>
    </w:p>
    <w:p>
      <w:pPr>
        <w:pStyle w:val="ListParagraph"/>
        <w:numPr>
          <w:ilvl w:val="0"/>
          <w:numId w:val="2"/>
        </w:numPr>
      </w:pPr>
      <w:r>
        <w:t xml:space="preserve">$5.8B Volkswagen joint venture led to 20% increase (December)</w:t>
      </w:r>
    </w:p>
    <w:p>
      <w:pPr>
        <w:pStyle w:val="Heading2"/>
      </w:pPr>
      <w:r>
        <w:t xml:space="preserve">4.3 Stationarity</w:t>
      </w:r>
    </w:p>
    <w:p>
      <w:pPr>
        <w:spacing w:after="120"/>
      </w:pPr>
      <w:r>
        <w:t xml:space="preserve">Interestingly, RIVN's original series was stationary (p = 0.0177), reflecting lack of consistent trend throughout 2024.</w:t>
      </w:r>
    </w:p>
    <w:p>
      <w:pPr>
        <w:pStyle w:val="Heading2"/>
      </w:pPr>
      <w:r>
        <w:t xml:space="preserve">4.4 Model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900"/>
        <w:gridCol w:w="2730"/>
        <w:gridCol w:w="2730"/>
      </w:tblGrid>
      <w:tr>
        <w:tc>
          <w:tcPr>
            <w:tcW w:type="dxa" w:w="3900"/>
            <w:shd w:fill="4472C4" w:val="clear"/>
            <w:tcMar>
              <w:top w:type="dxa" w:w="80"/>
              <w:left w:type="dxa" w:w="120"/>
              <w:bottom w:type="dxa" w:w="80"/>
              <w:right w:type="dxa" w:w="120"/>
            </w:tcMar>
          </w:tcPr>
          <w:p>
            <w:r>
              <w:rPr>
                <w:b/>
                <w:bCs/>
                <w:color w:val="FFFFFF"/>
              </w:rPr>
              <w:t xml:space="preserve">Model</w:t>
            </w:r>
          </w:p>
        </w:tc>
        <w:tc>
          <w:tcPr>
            <w:tcW w:type="dxa" w:w="2730"/>
            <w:shd w:fill="4472C4" w:val="clear"/>
            <w:tcMar>
              <w:top w:type="dxa" w:w="80"/>
              <w:left w:type="dxa" w:w="120"/>
              <w:bottom w:type="dxa" w:w="80"/>
              <w:right w:type="dxa" w:w="120"/>
            </w:tcMar>
          </w:tcPr>
          <w:p>
            <w:r>
              <w:rPr>
                <w:b/>
                <w:bCs/>
                <w:color w:val="FFFFFF"/>
              </w:rPr>
              <w:t xml:space="preserve">RMSE</w:t>
            </w:r>
          </w:p>
        </w:tc>
        <w:tc>
          <w:tcPr>
            <w:tcW w:type="dxa" w:w="2730"/>
            <w:shd w:fill="4472C4" w:val="clear"/>
            <w:tcMar>
              <w:top w:type="dxa" w:w="80"/>
              <w:left w:type="dxa" w:w="120"/>
              <w:bottom w:type="dxa" w:w="80"/>
              <w:right w:type="dxa" w:w="120"/>
            </w:tcMar>
          </w:tcPr>
          <w:p>
            <w:r>
              <w:rPr>
                <w:b/>
                <w:bCs/>
                <w:color w:val="FFFFFF"/>
              </w:rPr>
              <w:t xml:space="preserve">R²</w:t>
            </w:r>
          </w:p>
        </w:tc>
      </w:tr>
      <w:tr>
        <w:tc>
          <w:tcPr>
            <w:tcW w:type="dxa" w:w="3900"/>
            <w:shd w:fill="F2F2F2" w:val="clear"/>
            <w:tcMar>
              <w:top w:type="dxa" w:w="80"/>
              <w:left w:type="dxa" w:w="120"/>
              <w:bottom w:type="dxa" w:w="80"/>
              <w:right w:type="dxa" w:w="120"/>
            </w:tcMar>
          </w:tcPr>
          <w:p>
            <w:r>
              <w:t xml:space="preserve">ARIMA(1,1,0)</w:t>
            </w:r>
          </w:p>
        </w:tc>
        <w:tc>
          <w:tcPr>
            <w:tcW w:type="dxa" w:w="2730"/>
            <w:shd w:fill="F2F2F2" w:val="clear"/>
            <w:tcMar>
              <w:top w:type="dxa" w:w="80"/>
              <w:left w:type="dxa" w:w="120"/>
              <w:bottom w:type="dxa" w:w="80"/>
              <w:right w:type="dxa" w:w="120"/>
            </w:tcMar>
          </w:tcPr>
          <w:p>
            <w:r>
              <w:t xml:space="preserve">2.56</w:t>
            </w:r>
          </w:p>
        </w:tc>
        <w:tc>
          <w:tcPr>
            <w:tcW w:type="dxa" w:w="2730"/>
            <w:shd w:fill="F2F2F2" w:val="clear"/>
            <w:tcMar>
              <w:top w:type="dxa" w:w="80"/>
              <w:left w:type="dxa" w:w="120"/>
              <w:bottom w:type="dxa" w:w="80"/>
              <w:right w:type="dxa" w:w="120"/>
            </w:tcMar>
          </w:tcPr>
          <w:p>
            <w:r>
              <w:t xml:space="preserve">-1.86</w:t>
            </w:r>
          </w:p>
        </w:tc>
      </w:tr>
      <w:tr>
        <w:tc>
          <w:tcPr>
            <w:tcW w:type="dxa" w:w="3900"/>
            <w:tcMar>
              <w:top w:type="dxa" w:w="80"/>
              <w:left w:type="dxa" w:w="120"/>
              <w:bottom w:type="dxa" w:w="80"/>
              <w:right w:type="dxa" w:w="120"/>
            </w:tcMar>
          </w:tcPr>
          <w:p>
            <w:r>
              <w:t xml:space="preserve">ARIMA(2,1,0)</w:t>
            </w:r>
          </w:p>
        </w:tc>
        <w:tc>
          <w:tcPr>
            <w:tcW w:type="dxa" w:w="2730"/>
            <w:tcMar>
              <w:top w:type="dxa" w:w="80"/>
              <w:left w:type="dxa" w:w="120"/>
              <w:bottom w:type="dxa" w:w="80"/>
              <w:right w:type="dxa" w:w="120"/>
            </w:tcMar>
          </w:tcPr>
          <w:p>
            <w:r>
              <w:t xml:space="preserve">2.52</w:t>
            </w:r>
          </w:p>
        </w:tc>
        <w:tc>
          <w:tcPr>
            <w:tcW w:type="dxa" w:w="2730"/>
            <w:tcMar>
              <w:top w:type="dxa" w:w="80"/>
              <w:left w:type="dxa" w:w="120"/>
              <w:bottom w:type="dxa" w:w="80"/>
              <w:right w:type="dxa" w:w="120"/>
            </w:tcMar>
          </w:tcPr>
          <w:p>
            <w:r>
              <w:t xml:space="preserve">-1.77</w:t>
            </w:r>
          </w:p>
        </w:tc>
      </w:tr>
      <w:tr>
        <w:tc>
          <w:tcPr>
            <w:tcW w:type="dxa" w:w="3900"/>
            <w:shd w:fill="D5E8F0" w:val="clear"/>
            <w:tcMar>
              <w:top w:type="dxa" w:w="80"/>
              <w:left w:type="dxa" w:w="120"/>
              <w:bottom w:type="dxa" w:w="80"/>
              <w:right w:type="dxa" w:w="120"/>
            </w:tcMar>
          </w:tcPr>
          <w:p>
            <w:r>
              <w:rPr>
                <w:b/>
                <w:bCs/>
              </w:rPr>
              <w:t xml:space="preserve">SARIMA(2,0,1)(0,1,1,5) ★</w:t>
            </w:r>
          </w:p>
        </w:tc>
        <w:tc>
          <w:tcPr>
            <w:tcW w:type="dxa" w:w="2730"/>
            <w:shd w:fill="D5E8F0" w:val="clear"/>
            <w:tcMar>
              <w:top w:type="dxa" w:w="80"/>
              <w:left w:type="dxa" w:w="120"/>
              <w:bottom w:type="dxa" w:w="80"/>
              <w:right w:type="dxa" w:w="120"/>
            </w:tcMar>
          </w:tcPr>
          <w:p>
            <w:r>
              <w:rPr>
                <w:b/>
                <w:bCs/>
              </w:rPr>
              <w:t xml:space="preserve">1.91</w:t>
            </w:r>
          </w:p>
        </w:tc>
        <w:tc>
          <w:tcPr>
            <w:tcW w:type="dxa" w:w="2730"/>
            <w:shd w:fill="D5E8F0" w:val="clear"/>
            <w:tcMar>
              <w:top w:type="dxa" w:w="80"/>
              <w:left w:type="dxa" w:w="120"/>
              <w:bottom w:type="dxa" w:w="80"/>
              <w:right w:type="dxa" w:w="120"/>
            </w:tcMar>
          </w:tcPr>
          <w:p>
            <w:r>
              <w:rPr>
                <w:b/>
                <w:bCs/>
              </w:rPr>
              <w:t xml:space="preserve">-0.59</w:t>
            </w:r>
          </w:p>
        </w:tc>
      </w:tr>
    </w:tbl>
    <w:p>
      <w:pPr>
        <w:spacing w:before="240"/>
      </w:pPr>
      <w:r>
        <w:t xml:space="preserve"/>
      </w:r>
    </w:p>
    <w:p>
      <w:pPr>
        <w:spacing w:after="120"/>
      </w:pPr>
      <w:r>
        <w:t xml:space="preserve">RIVN presented unique challenges as an emerging EV company. Event-driven price movements dominated over predictable patterns, highlighting limitations of univariate time series approaches for stocks heavily influenced by company-specific news.</w:t>
      </w:r>
    </w:p>
    <w:p>
      <w:r>
        <w:br w:type="page"/>
      </w:r>
    </w:p>
    <w:p>
      <w:pPr>
        <w:pStyle w:val="Heading1"/>
      </w:pPr>
      <w:r>
        <w:t xml:space="preserve">5. Comparative Analysis</w:t>
      </w:r>
    </w:p>
    <w:p>
      <w:pPr>
        <w:pStyle w:val="Heading2"/>
      </w:pPr>
      <w:r>
        <w:t xml:space="preserve">5.1 Cross-Stock Correlation</w:t>
      </w:r>
    </w:p>
    <w:p>
      <w:pPr>
        <w:spacing w:after="120"/>
      </w:pPr>
      <w:r>
        <w:t xml:space="preserve">Correlation analysis revealed:</w:t>
      </w:r>
    </w:p>
    <w:p>
      <w:pPr>
        <w:pStyle w:val="ListParagraph"/>
        <w:numPr>
          <w:ilvl w:val="0"/>
          <w:numId w:val="2"/>
        </w:numPr>
      </w:pPr>
      <w:r>
        <w:t xml:space="preserve">NVIDIA &amp; AMD: -0.40 (moderate negative, surprising for same sector)</w:t>
      </w:r>
    </w:p>
    <w:p>
      <w:pPr>
        <w:pStyle w:val="ListParagraph"/>
        <w:numPr>
          <w:ilvl w:val="0"/>
          <w:numId w:val="2"/>
        </w:numPr>
      </w:pPr>
      <w:r>
        <w:t xml:space="preserve">NVIDIA &amp; RIVN: -0.13 (weak negative, largely independent)</w:t>
      </w:r>
    </w:p>
    <w:p>
      <w:pPr>
        <w:pStyle w:val="ListParagraph"/>
        <w:numPr>
          <w:ilvl w:val="0"/>
          <w:numId w:val="2"/>
        </w:numPr>
      </w:pPr>
      <w:r>
        <w:t xml:space="preserve">AMD &amp; RIVN: -0.30 (weak negative)</w:t>
      </w:r>
    </w:p>
    <w:p>
      <w:pPr>
        <w:pStyle w:val="Heading2"/>
      </w:pPr>
      <w:r>
        <w:t xml:space="preserve">5.2 Overall Performance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1755"/>
        <w:gridCol w:w="1755"/>
      </w:tblGrid>
      <w:tr>
        <w:tc>
          <w:tcPr>
            <w:tcW w:type="dxa" w:w="2340"/>
            <w:shd w:fill="1F4788" w:val="clear"/>
            <w:tcMar>
              <w:top w:type="dxa" w:w="80"/>
              <w:left w:type="dxa" w:w="120"/>
              <w:bottom w:type="dxa" w:w="80"/>
              <w:right w:type="dxa" w:w="120"/>
            </w:tcMar>
          </w:tcPr>
          <w:p>
            <w:r>
              <w:rPr>
                <w:b/>
                <w:bCs/>
                <w:color w:val="FFFFFF"/>
              </w:rPr>
              <w:t xml:space="preserve">Stock</w:t>
            </w:r>
          </w:p>
        </w:tc>
        <w:tc>
          <w:tcPr>
            <w:tcW w:type="dxa" w:w="3510"/>
            <w:shd w:fill="1F4788" w:val="clear"/>
            <w:tcMar>
              <w:top w:type="dxa" w:w="80"/>
              <w:left w:type="dxa" w:w="120"/>
              <w:bottom w:type="dxa" w:w="80"/>
              <w:right w:type="dxa" w:w="120"/>
            </w:tcMar>
          </w:tcPr>
          <w:p>
            <w:r>
              <w:rPr>
                <w:b/>
                <w:bCs/>
                <w:color w:val="FFFFFF"/>
              </w:rPr>
              <w:t xml:space="preserve">Best Model</w:t>
            </w:r>
          </w:p>
        </w:tc>
        <w:tc>
          <w:tcPr>
            <w:tcW w:type="dxa" w:w="1755"/>
            <w:shd w:fill="1F4788" w:val="clear"/>
            <w:tcMar>
              <w:top w:type="dxa" w:w="80"/>
              <w:left w:type="dxa" w:w="120"/>
              <w:bottom w:type="dxa" w:w="80"/>
              <w:right w:type="dxa" w:w="120"/>
            </w:tcMar>
          </w:tcPr>
          <w:p>
            <w:r>
              <w:rPr>
                <w:b/>
                <w:bCs/>
                <w:color w:val="FFFFFF"/>
              </w:rPr>
              <w:t xml:space="preserve">RMSE</w:t>
            </w:r>
          </w:p>
        </w:tc>
        <w:tc>
          <w:tcPr>
            <w:tcW w:type="dxa" w:w="1755"/>
            <w:shd w:fill="1F4788" w:val="clear"/>
            <w:tcMar>
              <w:top w:type="dxa" w:w="80"/>
              <w:left w:type="dxa" w:w="120"/>
              <w:bottom w:type="dxa" w:w="80"/>
              <w:right w:type="dxa" w:w="120"/>
            </w:tcMar>
          </w:tcPr>
          <w:p>
            <w:r>
              <w:rPr>
                <w:b/>
                <w:bCs/>
                <w:color w:val="FFFFFF"/>
              </w:rPr>
              <w:t xml:space="preserve">R²</w:t>
            </w:r>
          </w:p>
        </w:tc>
      </w:tr>
      <w:tr>
        <w:tc>
          <w:tcPr>
            <w:tcW w:type="dxa" w:w="2340"/>
            <w:shd w:fill="D5E8F0" w:val="clear"/>
            <w:tcMar>
              <w:top w:type="dxa" w:w="80"/>
              <w:left w:type="dxa" w:w="120"/>
              <w:bottom w:type="dxa" w:w="80"/>
              <w:right w:type="dxa" w:w="120"/>
            </w:tcMar>
          </w:tcPr>
          <w:p>
            <w:r>
              <w:rPr>
                <w:b/>
                <w:bCs/>
              </w:rPr>
              <w:t xml:space="preserve">NVIDIA</w:t>
            </w:r>
          </w:p>
        </w:tc>
        <w:tc>
          <w:tcPr>
            <w:tcW w:type="dxa" w:w="3510"/>
            <w:shd w:fill="D5E8F0" w:val="clear"/>
            <w:tcMar>
              <w:top w:type="dxa" w:w="80"/>
              <w:left w:type="dxa" w:w="120"/>
              <w:bottom w:type="dxa" w:w="80"/>
              <w:right w:type="dxa" w:w="120"/>
            </w:tcMar>
          </w:tcPr>
          <w:p>
            <w:r>
              <w:t xml:space="preserve">SARIMA(0,2,1)(1,0,1,5)</w:t>
            </w:r>
          </w:p>
        </w:tc>
        <w:tc>
          <w:tcPr>
            <w:tcW w:type="dxa" w:w="1755"/>
            <w:shd w:fill="D5E8F0" w:val="clear"/>
            <w:tcMar>
              <w:top w:type="dxa" w:w="80"/>
              <w:left w:type="dxa" w:w="120"/>
              <w:bottom w:type="dxa" w:w="80"/>
              <w:right w:type="dxa" w:w="120"/>
            </w:tcMar>
          </w:tcPr>
          <w:p>
            <w:r>
              <w:rPr>
                <w:b/>
                <w:bCs/>
              </w:rPr>
              <w:t xml:space="preserve">7.58</w:t>
            </w:r>
          </w:p>
        </w:tc>
        <w:tc>
          <w:tcPr>
            <w:tcW w:type="dxa" w:w="1755"/>
            <w:shd w:fill="D5E8F0" w:val="clear"/>
            <w:tcMar>
              <w:top w:type="dxa" w:w="80"/>
              <w:left w:type="dxa" w:w="120"/>
              <w:bottom w:type="dxa" w:w="80"/>
              <w:right w:type="dxa" w:w="120"/>
            </w:tcMar>
          </w:tcPr>
          <w:p>
            <w:r>
              <w:rPr>
                <w:b/>
                <w:bCs/>
              </w:rPr>
              <w:t xml:space="preserve">0.34</w:t>
            </w:r>
          </w:p>
        </w:tc>
      </w:tr>
      <w:tr>
        <w:tc>
          <w:tcPr>
            <w:tcW w:type="dxa" w:w="2340"/>
            <w:shd w:fill="F2F2F2" w:val="clear"/>
            <w:tcMar>
              <w:top w:type="dxa" w:w="80"/>
              <w:left w:type="dxa" w:w="120"/>
              <w:bottom w:type="dxa" w:w="80"/>
              <w:right w:type="dxa" w:w="120"/>
            </w:tcMar>
          </w:tcPr>
          <w:p>
            <w:r>
              <w:t xml:space="preserve">AMD</w:t>
            </w:r>
          </w:p>
        </w:tc>
        <w:tc>
          <w:tcPr>
            <w:tcW w:type="dxa" w:w="3510"/>
            <w:shd w:fill="F2F2F2" w:val="clear"/>
            <w:tcMar>
              <w:top w:type="dxa" w:w="80"/>
              <w:left w:type="dxa" w:w="120"/>
              <w:bottom w:type="dxa" w:w="80"/>
              <w:right w:type="dxa" w:w="120"/>
            </w:tcMar>
          </w:tcPr>
          <w:p>
            <w:r>
              <w:t xml:space="preserve">SARIMA(1,2,2)(0,1,1,5)</w:t>
            </w:r>
          </w:p>
        </w:tc>
        <w:tc>
          <w:tcPr>
            <w:tcW w:type="dxa" w:w="1755"/>
            <w:shd w:fill="F2F2F2" w:val="clear"/>
            <w:tcMar>
              <w:top w:type="dxa" w:w="80"/>
              <w:left w:type="dxa" w:w="120"/>
              <w:bottom w:type="dxa" w:w="80"/>
              <w:right w:type="dxa" w:w="120"/>
            </w:tcMar>
          </w:tcPr>
          <w:p>
            <w:r>
              <w:t xml:space="preserve">25.15</w:t>
            </w:r>
          </w:p>
        </w:tc>
        <w:tc>
          <w:tcPr>
            <w:tcW w:type="dxa" w:w="1755"/>
            <w:shd w:fill="F2F2F2" w:val="clear"/>
            <w:tcMar>
              <w:top w:type="dxa" w:w="80"/>
              <w:left w:type="dxa" w:w="120"/>
              <w:bottom w:type="dxa" w:w="80"/>
              <w:right w:type="dxa" w:w="120"/>
            </w:tcMar>
          </w:tcPr>
          <w:p>
            <w:r>
              <w:t xml:space="preserve">-6.28</w:t>
            </w:r>
          </w:p>
        </w:tc>
      </w:tr>
      <w:tr>
        <w:tc>
          <w:tcPr>
            <w:tcW w:type="dxa" w:w="2340"/>
            <w:tcMar>
              <w:top w:type="dxa" w:w="80"/>
              <w:left w:type="dxa" w:w="120"/>
              <w:bottom w:type="dxa" w:w="80"/>
              <w:right w:type="dxa" w:w="120"/>
            </w:tcMar>
          </w:tcPr>
          <w:p>
            <w:r>
              <w:t xml:space="preserve">RIVN</w:t>
            </w:r>
          </w:p>
        </w:tc>
        <w:tc>
          <w:tcPr>
            <w:tcW w:type="dxa" w:w="3510"/>
            <w:tcMar>
              <w:top w:type="dxa" w:w="80"/>
              <w:left w:type="dxa" w:w="120"/>
              <w:bottom w:type="dxa" w:w="80"/>
              <w:right w:type="dxa" w:w="120"/>
            </w:tcMar>
          </w:tcPr>
          <w:p>
            <w:r>
              <w:t xml:space="preserve">SARIMA(2,0,1)(0,1,1,5)</w:t>
            </w:r>
          </w:p>
        </w:tc>
        <w:tc>
          <w:tcPr>
            <w:tcW w:type="dxa" w:w="1755"/>
            <w:tcMar>
              <w:top w:type="dxa" w:w="80"/>
              <w:left w:type="dxa" w:w="120"/>
              <w:bottom w:type="dxa" w:w="80"/>
              <w:right w:type="dxa" w:w="120"/>
            </w:tcMar>
          </w:tcPr>
          <w:p>
            <w:r>
              <w:t xml:space="preserve">1.91</w:t>
            </w:r>
          </w:p>
        </w:tc>
        <w:tc>
          <w:tcPr>
            <w:tcW w:type="dxa" w:w="1755"/>
            <w:tcMar>
              <w:top w:type="dxa" w:w="80"/>
              <w:left w:type="dxa" w:w="120"/>
              <w:bottom w:type="dxa" w:w="80"/>
              <w:right w:type="dxa" w:w="120"/>
            </w:tcMar>
          </w:tcPr>
          <w:p>
            <w:r>
              <w:t xml:space="preserve">-0.59</w:t>
            </w:r>
          </w:p>
        </w:tc>
      </w:tr>
    </w:tbl>
    <w:p>
      <w:pPr>
        <w:spacing w:before="360"/>
      </w:pPr>
      <w:r>
        <w:t xml:space="preserve"/>
      </w:r>
    </w:p>
    <w:p>
      <w:pPr>
        <w:spacing w:after="120"/>
      </w:pPr>
      <w:r>
        <w:t xml:space="preserve">Key insights:</w:t>
      </w:r>
    </w:p>
    <w:p>
      <w:pPr>
        <w:pStyle w:val="ListParagraph"/>
        <w:numPr>
          <w:ilvl w:val="0"/>
          <w:numId w:val="2"/>
        </w:numPr>
      </w:pPr>
      <w:r>
        <w:t xml:space="preserve">NVIDIA: Only positive R², most predictable due to strong consistent trend</w:t>
      </w:r>
    </w:p>
    <w:p>
      <w:pPr>
        <w:pStyle w:val="ListParagraph"/>
        <w:numPr>
          <w:ilvl w:val="0"/>
          <w:numId w:val="2"/>
        </w:numPr>
      </w:pPr>
      <w:r>
        <w:t xml:space="preserve">AMD: Poorest performance, extreme volatility difficult to capture</w:t>
      </w:r>
    </w:p>
    <w:p>
      <w:pPr>
        <w:pStyle w:val="ListParagraph"/>
        <w:numPr>
          <w:ilvl w:val="0"/>
          <w:numId w:val="2"/>
        </w:numPr>
      </w:pPr>
      <w:r>
        <w:t xml:space="preserve">RIVN: Lowest RMSE (lower price range), but negative R² indicates poor predictive power</w:t>
      </w:r>
    </w:p>
    <w:p>
      <w:pPr>
        <w:pStyle w:val="ListParagraph"/>
        <w:numPr>
          <w:ilvl w:val="0"/>
          <w:numId w:val="2"/>
        </w:numPr>
      </w:pPr>
      <w:r>
        <w:t xml:space="preserve">Seasonality crucial: All best models incorporated weekly patterns</w:t>
      </w:r>
    </w:p>
    <w:p>
      <w:r>
        <w:br w:type="page"/>
      </w:r>
    </w:p>
    <w:p>
      <w:pPr>
        <w:pStyle w:val="Heading1"/>
      </w:pPr>
      <w:r>
        <w:t xml:space="preserve">6. Conclusions and Recommendations</w:t>
      </w:r>
    </w:p>
    <w:p>
      <w:pPr>
        <w:pStyle w:val="Heading2"/>
      </w:pPr>
      <w:r>
        <w:t xml:space="preserve">6.1 Main Findings</w:t>
      </w:r>
    </w:p>
    <w:p>
      <w:pPr>
        <w:spacing w:after="120"/>
      </w:pPr>
      <w:r>
        <w:t xml:space="preserve">This comprehensive analysis revealed important insights about ARIMA and SARIMA models for stock price prediction:</w:t>
      </w:r>
    </w:p>
    <w:p>
      <w:pPr>
        <w:pStyle w:val="ListParagraph"/>
        <w:numPr>
          <w:ilvl w:val="0"/>
          <w:numId w:val="2"/>
        </w:numPr>
      </w:pPr>
      <w:r>
        <w:t xml:space="preserve">Seasonality Matters: SARIMA models with weekly patterns consistently outperformed ARIMA</w:t>
      </w:r>
    </w:p>
    <w:p>
      <w:pPr>
        <w:pStyle w:val="ListParagraph"/>
        <w:numPr>
          <w:ilvl w:val="0"/>
          <w:numId w:val="2"/>
        </w:numPr>
      </w:pPr>
      <w:r>
        <w:t xml:space="preserve">Stock Characteristics Affect Predictability: NVIDIA most predictable with strong trend, AMD and RIVN more challenging</w:t>
      </w:r>
    </w:p>
    <w:p>
      <w:pPr>
        <w:pStyle w:val="ListParagraph"/>
        <w:numPr>
          <w:ilvl w:val="0"/>
          <w:numId w:val="2"/>
        </w:numPr>
      </w:pPr>
      <w:r>
        <w:t xml:space="preserve">Limited Success of Univariate Models: Only NVIDIA achieved positive R²</w:t>
      </w:r>
    </w:p>
    <w:p>
      <w:pPr>
        <w:pStyle w:val="ListParagraph"/>
        <w:numPr>
          <w:ilvl w:val="0"/>
          <w:numId w:val="2"/>
        </w:numPr>
      </w:pPr>
      <w:r>
        <w:t xml:space="preserve">Volatility Difficult to Capture: All models struggled with short-term fluctuations</w:t>
      </w:r>
    </w:p>
    <w:p>
      <w:pPr>
        <w:pStyle w:val="Heading2"/>
      </w:pPr>
      <w:r>
        <w:t xml:space="preserve">6.2 Limitations</w:t>
      </w:r>
    </w:p>
    <w:p>
      <w:pPr>
        <w:pStyle w:val="ListParagraph"/>
        <w:numPr>
          <w:ilvl w:val="0"/>
          <w:numId w:val="2"/>
        </w:numPr>
      </w:pPr>
      <w:r>
        <w:t xml:space="preserve">Univariate approach ignores volume, indices, and macroeconomic indicators</w:t>
      </w:r>
    </w:p>
    <w:p>
      <w:pPr>
        <w:pStyle w:val="ListParagraph"/>
        <w:numPr>
          <w:ilvl w:val="0"/>
          <w:numId w:val="2"/>
        </w:numPr>
      </w:pPr>
      <w:r>
        <w:t xml:space="preserve">Cannot anticipate unexpected events (earnings, product launches)</w:t>
      </w:r>
    </w:p>
    <w:p>
      <w:pPr>
        <w:pStyle w:val="ListParagraph"/>
        <w:numPr>
          <w:ilvl w:val="0"/>
          <w:numId w:val="2"/>
        </w:numPr>
      </w:pPr>
      <w:r>
        <w:t xml:space="preserve">Linear assumptions may miss complex non-linear patterns</w:t>
      </w:r>
    </w:p>
    <w:p>
      <w:pPr>
        <w:pStyle w:val="ListParagraph"/>
        <w:numPr>
          <w:ilvl w:val="0"/>
          <w:numId w:val="2"/>
        </w:numPr>
      </w:pPr>
      <w:r>
        <w:t xml:space="preserve">Single year analysis may not capture long-term behavior</w:t>
      </w:r>
    </w:p>
    <w:p>
      <w:pPr>
        <w:pStyle w:val="Heading2"/>
      </w:pPr>
      <w:r>
        <w:t xml:space="preserve">6.3 Recommendations for Future Work</w:t>
      </w:r>
    </w:p>
    <w:p>
      <w:pPr>
        <w:spacing w:after="120"/>
      </w:pPr>
      <w:r>
        <w:t xml:space="preserve">To improve forecasting accuracy:</w:t>
      </w:r>
    </w:p>
    <w:p>
      <w:pPr>
        <w:pStyle w:val="ListParagraph"/>
        <w:numPr>
          <w:ilvl w:val="0"/>
          <w:numId w:val="2"/>
        </w:numPr>
      </w:pPr>
      <w:r>
        <w:t xml:space="preserve">Multivariate Models: SARIMAX with exogenous variables (market indices, volume, VIX)</w:t>
      </w:r>
    </w:p>
    <w:p>
      <w:pPr>
        <w:pStyle w:val="ListParagraph"/>
        <w:numPr>
          <w:ilvl w:val="0"/>
          <w:numId w:val="2"/>
        </w:numPr>
      </w:pPr>
      <w:r>
        <w:t xml:space="preserve">Volatility Modeling: GARCH models for time-varying volatility</w:t>
      </w:r>
    </w:p>
    <w:p>
      <w:pPr>
        <w:pStyle w:val="ListParagraph"/>
        <w:numPr>
          <w:ilvl w:val="0"/>
          <w:numId w:val="2"/>
        </w:numPr>
      </w:pPr>
      <w:r>
        <w:t xml:space="preserve">Machine Learning: LSTM networks, XGBoost, or Prophet for non-linear patterns</w:t>
      </w:r>
    </w:p>
    <w:p>
      <w:pPr>
        <w:pStyle w:val="ListParagraph"/>
        <w:numPr>
          <w:ilvl w:val="0"/>
          <w:numId w:val="2"/>
        </w:numPr>
      </w:pPr>
      <w:r>
        <w:t xml:space="preserve">Ensemble Methods: Combine multiple model predictions</w:t>
      </w:r>
    </w:p>
    <w:p>
      <w:pPr>
        <w:pStyle w:val="ListParagraph"/>
        <w:numPr>
          <w:ilvl w:val="0"/>
          <w:numId w:val="2"/>
        </w:numPr>
      </w:pPr>
      <w:r>
        <w:t xml:space="preserve">Sentiment Analysis: NLP on news and social media</w:t>
      </w:r>
    </w:p>
    <w:p>
      <w:pPr>
        <w:pStyle w:val="ListParagraph"/>
        <w:numPr>
          <w:ilvl w:val="0"/>
          <w:numId w:val="2"/>
        </w:numPr>
      </w:pPr>
      <w:r>
        <w:t xml:space="preserve">Extended Time Horizons: Multi-year analysis for long-term cycles</w:t>
      </w:r>
    </w:p>
    <w:p>
      <w:pPr>
        <w:pStyle w:val="Heading2"/>
      </w:pPr>
      <w:r>
        <w:t xml:space="preserve">6.4 Final Thoughts</w:t>
      </w:r>
    </w:p>
    <w:p>
      <w:pPr>
        <w:spacing w:after="120"/>
      </w:pPr>
      <w:r>
        <w:t xml:space="preserve">This analysis demonstrates that while traditional time series models can identify trends and seasonal patterns, stock price forecasting remains fundamentally challenging due to market complexity and external influences. SARIMA models incorporating seasonality showed improvement over basic ARIMA, but the overall limited predictive power underscores the need for more sophisticated multivariate and machine learning approaches for practical stock price forecasting applications.</w:t>
      </w:r>
    </w:p>
    <w:p>
      <w:pPr>
        <w:spacing/>
      </w:pPr>
      <w:r>
        <w:t xml:space="preserve">The differing performance across the three stocks highlights that model effectiveness depends heavily on the underlying price dynamics: trend-driven stocks like NVIDIA are more amenable to time series forecasting, while highly volatile or event-driven stocks like AMD and RIVN require approaches that can incorporate fundamental and external information beyond historical prices alone.</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788"/>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5C8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2026-02-01T00:38:06.549Z</dcterms:created>
  <dcterms:modified xsi:type="dcterms:W3CDTF">2026-02-01T00:38:06.550Z</dcterms:modified>
</cp:coreProperties>
</file>

<file path=docProps/custom.xml><?xml version="1.0" encoding="utf-8"?>
<Properties xmlns="http://schemas.openxmlformats.org/officeDocument/2006/custom-properties" xmlns:vt="http://schemas.openxmlformats.org/officeDocument/2006/docPropsVTypes"/>
</file>