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03C01" w14:textId="71A87A9A" w:rsidR="00411C7E" w:rsidRPr="00411C7E" w:rsidRDefault="00411C7E" w:rsidP="00411C7E">
      <w:pPr>
        <w:rPr>
          <w:sz w:val="28"/>
          <w:szCs w:val="28"/>
        </w:rPr>
      </w:pPr>
      <w:r w:rsidRPr="00411C7E">
        <w:rPr>
          <w:sz w:val="28"/>
          <w:szCs w:val="28"/>
        </w:rPr>
        <w:t>Account(</w:t>
      </w:r>
      <w:r w:rsidRPr="00411C7E">
        <w:rPr>
          <w:sz w:val="28"/>
          <w:szCs w:val="28"/>
          <w:u w:val="single"/>
        </w:rPr>
        <w:t>AcctId</w:t>
      </w:r>
      <w:r>
        <w:rPr>
          <w:sz w:val="28"/>
          <w:szCs w:val="28"/>
          <w:u w:val="single"/>
        </w:rPr>
        <w:t>,</w:t>
      </w:r>
      <w:r w:rsidRPr="00411C7E">
        <w:rPr>
          <w:sz w:val="28"/>
          <w:szCs w:val="28"/>
        </w:rPr>
        <w:t xml:space="preserve"> </w:t>
      </w:r>
      <w:r>
        <w:rPr>
          <w:sz w:val="28"/>
          <w:szCs w:val="28"/>
        </w:rPr>
        <w:t>decAccNo,</w:t>
      </w:r>
      <w:r w:rsidRPr="00411C7E">
        <w:rPr>
          <w:sz w:val="28"/>
          <w:szCs w:val="28"/>
        </w:rPr>
        <w:t>AcctName,Balance)</w:t>
      </w:r>
    </w:p>
    <w:p w14:paraId="29E75C28" w14:textId="59DF8000" w:rsidR="00A82E51" w:rsidRDefault="00411C7E" w:rsidP="00411C7E">
      <w:pPr>
        <w:rPr>
          <w:sz w:val="28"/>
          <w:szCs w:val="28"/>
        </w:rPr>
      </w:pPr>
      <w:r w:rsidRPr="00411C7E">
        <w:rPr>
          <w:sz w:val="28"/>
          <w:szCs w:val="28"/>
        </w:rPr>
        <w:t>AcctN</w:t>
      </w:r>
      <w:r>
        <w:rPr>
          <w:sz w:val="28"/>
          <w:szCs w:val="28"/>
        </w:rPr>
        <w:t>o</w:t>
      </w:r>
      <w:r w:rsidRPr="00411C7E">
        <w:rPr>
          <w:sz w:val="28"/>
          <w:szCs w:val="28"/>
        </w:rPr>
        <w:t>(Foreign Key)</w:t>
      </w:r>
      <w:r>
        <w:rPr>
          <w:sz w:val="28"/>
          <w:szCs w:val="28"/>
        </w:rPr>
        <w:t>REFERNCES Account</w:t>
      </w:r>
      <w:r w:rsidRPr="00411C7E">
        <w:rPr>
          <w:sz w:val="28"/>
          <w:szCs w:val="28"/>
        </w:rPr>
        <w:t xml:space="preserve"> NOT NULL</w:t>
      </w:r>
    </w:p>
    <w:p w14:paraId="6E3E5C02" w14:textId="3371EA8D" w:rsidR="00411C7E" w:rsidRDefault="00411C7E" w:rsidP="00411C7E">
      <w:pPr>
        <w:rPr>
          <w:b/>
          <w:bCs/>
          <w:sz w:val="28"/>
          <w:szCs w:val="28"/>
        </w:rPr>
      </w:pPr>
      <w:r w:rsidRPr="00411C7E">
        <w:rPr>
          <w:b/>
          <w:bCs/>
          <w:sz w:val="28"/>
          <w:szCs w:val="28"/>
        </w:rPr>
        <w:t>Conversion rules:</w:t>
      </w:r>
    </w:p>
    <w:p w14:paraId="343FF7D1" w14:textId="73FE972C" w:rsidR="00411C7E" w:rsidRPr="00411C7E" w:rsidRDefault="00411C7E" w:rsidP="00411C7E">
      <w:pPr>
        <w:rPr>
          <w:sz w:val="28"/>
          <w:szCs w:val="28"/>
        </w:rPr>
      </w:pPr>
      <w:r w:rsidRPr="00411C7E">
        <w:rPr>
          <w:sz w:val="28"/>
          <w:szCs w:val="28"/>
        </w:rPr>
        <w:t>1.Use the 1-M relationship rule for the decomposed relationship.</w:t>
      </w:r>
    </w:p>
    <w:sectPr w:rsidR="00411C7E" w:rsidRPr="0041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7E"/>
    <w:rsid w:val="00411C7E"/>
    <w:rsid w:val="00A8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09A2"/>
  <w15:chartTrackingRefBased/>
  <w15:docId w15:val="{E3A86C5D-9EFE-45FD-BD71-43551E3D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2020-08-07T01:40:00Z</dcterms:created>
  <dcterms:modified xsi:type="dcterms:W3CDTF">2020-08-07T01:44:00Z</dcterms:modified>
</cp:coreProperties>
</file>