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143B68" w:rsidRPr="00143B68" w14:paraId="1119E63C" w14:textId="77777777" w:rsidTr="00143B68">
        <w:trPr>
          <w:tblCellSpacing w:w="15" w:type="dxa"/>
        </w:trPr>
        <w:tc>
          <w:tcPr>
            <w:tcW w:w="0" w:type="auto"/>
            <w:vAlign w:val="center"/>
            <w:hideMark/>
          </w:tcPr>
          <w:p w14:paraId="1BB886D9" w14:textId="77777777" w:rsidR="00143B68" w:rsidRPr="00143B68" w:rsidRDefault="00143B68" w:rsidP="00143B68">
            <w:pPr>
              <w:spacing w:after="0" w:line="240" w:lineRule="auto"/>
              <w:rPr>
                <w:rFonts w:ascii="Times New Roman" w:eastAsia="Times New Roman" w:hAnsi="Times New Roman" w:cs="Times New Roman"/>
                <w:sz w:val="24"/>
                <w:szCs w:val="24"/>
              </w:rPr>
            </w:pPr>
            <w:r w:rsidRPr="00143B68">
              <w:rPr>
                <w:rFonts w:ascii="Times New Roman" w:eastAsia="Times New Roman" w:hAnsi="Times New Roman" w:cs="Times New Roman"/>
                <w:sz w:val="27"/>
                <w:szCs w:val="27"/>
              </w:rPr>
              <w:t>For immediate release</w:t>
            </w:r>
          </w:p>
        </w:tc>
      </w:tr>
    </w:tbl>
    <w:p w14:paraId="29A25681" w14:textId="77777777" w:rsidR="00143B68" w:rsidRPr="00143B68" w:rsidRDefault="00143B68" w:rsidP="00143B68">
      <w:pPr>
        <w:spacing w:after="0" w:line="240" w:lineRule="auto"/>
        <w:rPr>
          <w:rFonts w:ascii="Times New Roman" w:eastAsia="Times New Roman" w:hAnsi="Times New Roman" w:cs="Times New Roman"/>
          <w:vanish/>
          <w:color w:val="000000"/>
          <w:sz w:val="27"/>
          <w:szCs w:val="27"/>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143B68" w:rsidRPr="00143B68" w14:paraId="1F1F99BF" w14:textId="77777777" w:rsidTr="00143B68">
        <w:trPr>
          <w:tblCellSpacing w:w="15" w:type="dxa"/>
        </w:trPr>
        <w:tc>
          <w:tcPr>
            <w:tcW w:w="0" w:type="auto"/>
            <w:vAlign w:val="center"/>
            <w:hideMark/>
          </w:tcPr>
          <w:p w14:paraId="53DD4A02" w14:textId="77777777" w:rsidR="00143B68" w:rsidRPr="00143B68" w:rsidRDefault="00143B68" w:rsidP="00143B68">
            <w:pPr>
              <w:spacing w:before="100" w:beforeAutospacing="1" w:after="100" w:afterAutospacing="1" w:line="240" w:lineRule="auto"/>
              <w:rPr>
                <w:rFonts w:ascii="Times New Roman" w:eastAsia="Times New Roman" w:hAnsi="Times New Roman" w:cs="Times New Roman"/>
                <w:sz w:val="24"/>
                <w:szCs w:val="24"/>
              </w:rPr>
            </w:pPr>
            <w:r w:rsidRPr="00143B68">
              <w:rPr>
                <w:rFonts w:ascii="Times New Roman" w:eastAsia="Times New Roman" w:hAnsi="Times New Roman" w:cs="Times New Roman"/>
                <w:sz w:val="24"/>
                <w:szCs w:val="24"/>
              </w:rPr>
              <w:t>The Federal Open Market Committee decided today to lower its target for the federal funds rate by 50 basis points to 6 percent.</w:t>
            </w:r>
          </w:p>
          <w:p w14:paraId="6B6D22F0" w14:textId="77777777" w:rsidR="00143B68" w:rsidRPr="00143B68" w:rsidRDefault="00143B68" w:rsidP="00143B68">
            <w:pPr>
              <w:spacing w:before="100" w:beforeAutospacing="1" w:after="100" w:afterAutospacing="1" w:line="240" w:lineRule="auto"/>
              <w:rPr>
                <w:rFonts w:ascii="Times New Roman" w:eastAsia="Times New Roman" w:hAnsi="Times New Roman" w:cs="Times New Roman"/>
                <w:sz w:val="24"/>
                <w:szCs w:val="24"/>
              </w:rPr>
            </w:pPr>
            <w:r w:rsidRPr="00143B68">
              <w:rPr>
                <w:rFonts w:ascii="Times New Roman" w:eastAsia="Times New Roman" w:hAnsi="Times New Roman" w:cs="Times New Roman"/>
                <w:sz w:val="24"/>
                <w:szCs w:val="24"/>
              </w:rPr>
              <w:t>In a related action, the Board of Governors approved a 25-basis-point decrease in the discount rate to 5-3/4 percent, the level requested by seven Reserve Banks. The Board also indicated that it stands ready to approve a further reduction of 25 basis points in the discount rate to 5-1/2 percent on the requests of Federal Reserve Banks.</w:t>
            </w:r>
          </w:p>
          <w:p w14:paraId="54E246D3" w14:textId="77777777" w:rsidR="00143B68" w:rsidRPr="00143B68" w:rsidRDefault="00143B68" w:rsidP="00143B68">
            <w:pPr>
              <w:spacing w:before="100" w:beforeAutospacing="1" w:after="100" w:afterAutospacing="1" w:line="240" w:lineRule="auto"/>
              <w:rPr>
                <w:rFonts w:ascii="Times New Roman" w:eastAsia="Times New Roman" w:hAnsi="Times New Roman" w:cs="Times New Roman"/>
                <w:sz w:val="24"/>
                <w:szCs w:val="24"/>
              </w:rPr>
            </w:pPr>
            <w:r w:rsidRPr="00143B68">
              <w:rPr>
                <w:rFonts w:ascii="Times New Roman" w:eastAsia="Times New Roman" w:hAnsi="Times New Roman" w:cs="Times New Roman"/>
                <w:sz w:val="24"/>
                <w:szCs w:val="24"/>
              </w:rPr>
              <w:t xml:space="preserve">These actions were taken </w:t>
            </w:r>
            <w:proofErr w:type="gramStart"/>
            <w:r w:rsidRPr="00143B68">
              <w:rPr>
                <w:rFonts w:ascii="Times New Roman" w:eastAsia="Times New Roman" w:hAnsi="Times New Roman" w:cs="Times New Roman"/>
                <w:sz w:val="24"/>
                <w:szCs w:val="24"/>
              </w:rPr>
              <w:t>in light of</w:t>
            </w:r>
            <w:proofErr w:type="gramEnd"/>
            <w:r w:rsidRPr="00143B68">
              <w:rPr>
                <w:rFonts w:ascii="Times New Roman" w:eastAsia="Times New Roman" w:hAnsi="Times New Roman" w:cs="Times New Roman"/>
                <w:sz w:val="24"/>
                <w:szCs w:val="24"/>
              </w:rPr>
              <w:t xml:space="preserve"> further weakening of sales and production, and in the context of lower consumer confidence, tight conditions in some segments of financial markets, and high energy prices sapping household and business purchasing power. Moreover, inflation pressures remain contained. Nonetheless, to date there is little evidence to suggest that longer-term advances in technology and associated gains in productivity are abating.</w:t>
            </w:r>
          </w:p>
          <w:p w14:paraId="07C3ED63" w14:textId="77777777" w:rsidR="00143B68" w:rsidRPr="00143B68" w:rsidRDefault="00143B68" w:rsidP="00143B68">
            <w:pPr>
              <w:spacing w:before="100" w:beforeAutospacing="1" w:after="100" w:afterAutospacing="1" w:line="240" w:lineRule="auto"/>
              <w:rPr>
                <w:rFonts w:ascii="Times New Roman" w:eastAsia="Times New Roman" w:hAnsi="Times New Roman" w:cs="Times New Roman"/>
                <w:sz w:val="24"/>
                <w:szCs w:val="24"/>
              </w:rPr>
            </w:pPr>
            <w:r w:rsidRPr="00143B68">
              <w:rPr>
                <w:rFonts w:ascii="Times New Roman" w:eastAsia="Times New Roman" w:hAnsi="Times New Roman" w:cs="Times New Roman"/>
                <w:sz w:val="24"/>
                <w:szCs w:val="24"/>
              </w:rPr>
              <w:t>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p>
          <w:p w14:paraId="0276B58D" w14:textId="77777777" w:rsidR="00143B68" w:rsidRPr="00143B68" w:rsidRDefault="00143B68" w:rsidP="00143B68">
            <w:pPr>
              <w:spacing w:before="100" w:beforeAutospacing="1" w:after="100" w:afterAutospacing="1" w:line="240" w:lineRule="auto"/>
              <w:rPr>
                <w:rFonts w:ascii="Times New Roman" w:eastAsia="Times New Roman" w:hAnsi="Times New Roman" w:cs="Times New Roman"/>
                <w:sz w:val="24"/>
                <w:szCs w:val="24"/>
              </w:rPr>
            </w:pPr>
            <w:r w:rsidRPr="00143B68">
              <w:rPr>
                <w:rFonts w:ascii="Times New Roman" w:eastAsia="Times New Roman" w:hAnsi="Times New Roman" w:cs="Times New Roman"/>
                <w:sz w:val="24"/>
                <w:szCs w:val="24"/>
              </w:rPr>
              <w:t>In taking the discount rate action, the Federal Reserve Board approved requests submitted by the Boards of Directors of the Federal Reserve Banks of New York, Cleveland, Atlanta, St. Louis, Kansas City, Dallas and San Francisco.</w:t>
            </w:r>
          </w:p>
        </w:tc>
      </w:tr>
    </w:tbl>
    <w:p w14:paraId="6881D39D" w14:textId="77777777" w:rsidR="009437E4" w:rsidRDefault="00143B68">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1D"/>
    <w:rsid w:val="00143B68"/>
    <w:rsid w:val="0032563A"/>
    <w:rsid w:val="00983095"/>
    <w:rsid w:val="009F341D"/>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167AE-A391-474F-8FE3-3760EAAC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B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9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2017-11-23T06:05:00Z</dcterms:created>
  <dcterms:modified xsi:type="dcterms:W3CDTF">2017-11-23T06:05:00Z</dcterms:modified>
</cp:coreProperties>
</file>