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77C4C" w14:textId="77777777" w:rsidR="00E958FE" w:rsidRPr="00E958FE" w:rsidRDefault="00E958FE" w:rsidP="00E958FE">
      <w:pPr>
        <w:spacing w:before="100" w:beforeAutospacing="1" w:after="100" w:afterAutospacing="1" w:line="240" w:lineRule="auto"/>
        <w:rPr>
          <w:rFonts w:ascii="Times New Roman" w:eastAsia="Times New Roman" w:hAnsi="Times New Roman" w:cs="Times New Roman"/>
          <w:color w:val="000000"/>
          <w:sz w:val="27"/>
          <w:szCs w:val="27"/>
        </w:rPr>
      </w:pPr>
      <w:r w:rsidRPr="00E958FE">
        <w:rPr>
          <w:rFonts w:ascii="Times New Roman" w:eastAsia="Times New Roman" w:hAnsi="Times New Roman" w:cs="Times New Roman"/>
          <w:color w:val="000000"/>
          <w:sz w:val="27"/>
          <w:szCs w:val="27"/>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E958FE" w:rsidRPr="00E958FE" w14:paraId="6FE6D0A2" w14:textId="77777777" w:rsidTr="00E958FE">
        <w:trPr>
          <w:tblCellSpacing w:w="15" w:type="dxa"/>
        </w:trPr>
        <w:tc>
          <w:tcPr>
            <w:tcW w:w="0" w:type="auto"/>
            <w:vAlign w:val="center"/>
            <w:hideMark/>
          </w:tcPr>
          <w:p w14:paraId="43A84E8B" w14:textId="77777777" w:rsidR="00E958FE" w:rsidRPr="00E958FE" w:rsidRDefault="00E958FE" w:rsidP="00E958FE">
            <w:pPr>
              <w:spacing w:before="100" w:beforeAutospacing="1" w:after="100" w:afterAutospacing="1" w:line="240" w:lineRule="auto"/>
              <w:rPr>
                <w:rFonts w:ascii="Times New Roman" w:eastAsia="Times New Roman" w:hAnsi="Times New Roman" w:cs="Times New Roman"/>
                <w:sz w:val="24"/>
                <w:szCs w:val="24"/>
              </w:rPr>
            </w:pPr>
            <w:r w:rsidRPr="00E958FE">
              <w:rPr>
                <w:rFonts w:ascii="Times New Roman" w:eastAsia="Times New Roman" w:hAnsi="Times New Roman" w:cs="Times New Roman"/>
                <w:sz w:val="24"/>
                <w:szCs w:val="24"/>
              </w:rPr>
              <w:t>The Federal Open Market Committee decided today to keep its target for the federal funds rate unchanged at 1-3/4 percent.</w:t>
            </w:r>
          </w:p>
          <w:p w14:paraId="2ADA09A8" w14:textId="77777777" w:rsidR="00E958FE" w:rsidRPr="00E958FE" w:rsidRDefault="00E958FE" w:rsidP="00E958FE">
            <w:pPr>
              <w:spacing w:before="100" w:beforeAutospacing="1" w:after="100" w:afterAutospacing="1" w:line="240" w:lineRule="auto"/>
              <w:rPr>
                <w:rFonts w:ascii="Times New Roman" w:eastAsia="Times New Roman" w:hAnsi="Times New Roman" w:cs="Times New Roman"/>
                <w:sz w:val="24"/>
                <w:szCs w:val="24"/>
              </w:rPr>
            </w:pPr>
            <w:r w:rsidRPr="00E958FE">
              <w:rPr>
                <w:rFonts w:ascii="Times New Roman" w:eastAsia="Times New Roman" w:hAnsi="Times New Roman" w:cs="Times New Roman"/>
                <w:sz w:val="24"/>
                <w:szCs w:val="24"/>
              </w:rPr>
              <w:t>Signs that weakness in demand is abating and economic activity is beginning to firm have become more prevalent. With the forces restraining the economy starting to diminish, and with the long-term prospects for productivity growth remaining favorable and monetary policy accommodative, the outlook for economic recovery has become more promising.</w:t>
            </w:r>
          </w:p>
          <w:p w14:paraId="09B13FBC" w14:textId="77777777" w:rsidR="00E958FE" w:rsidRPr="00E958FE" w:rsidRDefault="00E958FE" w:rsidP="00E958FE">
            <w:pPr>
              <w:spacing w:before="100" w:beforeAutospacing="1" w:after="100" w:afterAutospacing="1" w:line="240" w:lineRule="auto"/>
              <w:rPr>
                <w:rFonts w:ascii="Times New Roman" w:eastAsia="Times New Roman" w:hAnsi="Times New Roman" w:cs="Times New Roman"/>
                <w:sz w:val="24"/>
                <w:szCs w:val="24"/>
              </w:rPr>
            </w:pPr>
            <w:r w:rsidRPr="00E958FE">
              <w:rPr>
                <w:rFonts w:ascii="Times New Roman" w:eastAsia="Times New Roman" w:hAnsi="Times New Roman" w:cs="Times New Roman"/>
                <w:sz w:val="24"/>
                <w:szCs w:val="24"/>
              </w:rPr>
              <w:t>The degree of any strength in business capital and household spending, however, is still uncertain. Hence, the Committee continues to believe that, against the background of its long-run goals of price stability and sustainable economic growth and of the information currently available, the risks are weighted mainly toward conditions that may generate economic weakness in the foreseeable future.</w:t>
            </w:r>
          </w:p>
        </w:tc>
      </w:tr>
    </w:tbl>
    <w:p w14:paraId="34F8D741" w14:textId="77777777" w:rsidR="009437E4" w:rsidRDefault="00E958FE">
      <w:bookmarkStart w:id="0" w:name="_GoBack"/>
      <w:bookmarkEnd w:id="0"/>
    </w:p>
    <w:sectPr w:rsidR="0094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FC4"/>
    <w:rsid w:val="0032563A"/>
    <w:rsid w:val="00667FC4"/>
    <w:rsid w:val="00983095"/>
    <w:rsid w:val="00BC55E0"/>
    <w:rsid w:val="00C40071"/>
    <w:rsid w:val="00E95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2F7FD-BECE-4D65-9D7C-7F7A5A5F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58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41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2</cp:revision>
  <dcterms:created xsi:type="dcterms:W3CDTF">2017-11-23T06:05:00Z</dcterms:created>
  <dcterms:modified xsi:type="dcterms:W3CDTF">2017-11-23T06:05:00Z</dcterms:modified>
</cp:coreProperties>
</file>