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Highlights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KEXS injects five layers of domain knowledge into startup-success prediction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Knowledge raises AUC from 0.800 to 0.812 (p &lt; 0.001) with frozen settings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gain holds on a strict temporal hold-out of 2010–2014 startups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Monotone constraints remove all violations of expert priors at no accuracy cost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Exact group-Shapley credits 63% of predictive power to knowledge layers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2026-10-23T16:35:39.879Z</dcterms:created>
  <dcterms:modified xsi:type="dcterms:W3CDTF">2026-10-23T16:35:39.879Z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