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Highlights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KEXS injects five layers of domain knowledge into startup-success prediction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Knowledge raises AUC from 0.800 to 0.812 (p &lt; 0.001) with frozen settings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gain holds on a strict temporal hold-out of 2010–2014 startups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Monotone constraints remove all violations of expert priors at no accuracy cost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Exact group-Shapley credits 63% of predictive power to knowledge layers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2026-10-23T16:41:46.861Z</dcterms:created>
  <dcterms:modified xsi:type="dcterms:W3CDTF">2026-10-23T16:41:46.861Z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