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0078D4"/>
          <w:sz w:val="56"/>
          <w:szCs w:val="56"/>
        </w:rPr>
        <w:t xml:space="preserve">☁  Azure Custom Domain</w:t>
      </w:r>
    </w:p>
    <w:p>
      <w:pPr>
        <w:spacing w:after="100" w:before="0"/>
        <w:jc w:val="center"/>
      </w:pPr>
      <w:r>
        <w:rPr>
          <w:rFonts w:ascii="Arial" w:cs="Arial" w:eastAsia="Arial" w:hAnsi="Arial"/>
          <w:color w:val="00788A"/>
          <w:sz w:val="32"/>
          <w:szCs w:val="32"/>
        </w:rPr>
        <w:t xml:space="preserve">Complete Interview Preparation Guide</w:t>
      </w:r>
    </w:p>
    <w:p>
      <w:pPr>
        <w:spacing w:after="600" w:before="0"/>
        <w:jc w:val="center"/>
      </w:pPr>
      <w:r>
        <w:rPr>
          <w:rFonts w:ascii="Arial" w:cs="Arial" w:eastAsia="Arial" w:hAnsi="Arial"/>
          <w:color w:val="5A5A5A"/>
          <w:sz w:val="22"/>
          <w:szCs w:val="22"/>
        </w:rPr>
        <w:t xml:space="preserve">DNS  ·  App Gateway  ·  Front Door  ·  AGIC  ·  AKS  ·  Terraform  ·  YAML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A8D4F5" w:sz="1"/>
              <w:left w:val="single" w:color="A8D4F5" w:sz="1"/>
              <w:bottom w:val="single" w:color="A8D4F5" w:sz="1"/>
              <w:right w:val="single" w:color="A8D4F5" w:sz="1"/>
            </w:tcBorders>
            <w:shd w:fill="D0E8FA" w:val="clear"/>
            <w:tcMar>
              <w:top w:type="dxa" w:w="80"/>
              <w:left w:type="dxa" w:w="120"/>
              <w:bottom w:type="dxa" w:w="80"/>
              <w:right w:type="dxa" w:w="120"/>
            </w:tcMar>
          </w:tcPr>
          <w:p>
            <w:pPr>
              <w:jc w:val="center"/>
            </w:pPr>
            <w:r>
              <w:rPr>
                <w:rFonts w:ascii="Arial" w:cs="Arial" w:eastAsia="Arial" w:hAnsi="Arial"/>
                <w:b/>
                <w:bCs/>
                <w:color w:val="0078D4"/>
                <w:sz w:val="18"/>
                <w:szCs w:val="18"/>
              </w:rPr>
              <w:t xml:space="preserve">Experience Level</w:t>
            </w:r>
          </w:p>
          <w:p>
            <w:pPr>
              <w:jc w:val="center"/>
            </w:pPr>
            <w:r>
              <w:rPr>
                <w:rFonts w:ascii="Arial" w:cs="Arial" w:eastAsia="Arial" w:hAnsi="Arial"/>
                <w:color w:val="1A1A1A"/>
                <w:sz w:val="18"/>
                <w:szCs w:val="18"/>
              </w:rPr>
              <w:t xml:space="preserve">5 Years DevOps</w:t>
            </w:r>
          </w:p>
        </w:tc>
        <w:tc>
          <w:tcPr>
            <w:tcW w:type="dxa" w:w="2300"/>
            <w:tcBorders>
              <w:top w:val="single" w:color="A8D4F5" w:sz="1"/>
              <w:left w:val="single" w:color="A8D4F5" w:sz="1"/>
              <w:bottom w:val="single" w:color="A8D4F5" w:sz="1"/>
              <w:right w:val="single" w:color="A8D4F5" w:sz="1"/>
            </w:tcBorders>
            <w:shd w:fill="D0E8FA" w:val="clear"/>
            <w:tcMar>
              <w:top w:type="dxa" w:w="80"/>
              <w:left w:type="dxa" w:w="120"/>
              <w:bottom w:type="dxa" w:w="80"/>
              <w:right w:type="dxa" w:w="120"/>
            </w:tcMar>
          </w:tcPr>
          <w:p>
            <w:pPr>
              <w:jc w:val="center"/>
            </w:pPr>
            <w:r>
              <w:rPr>
                <w:rFonts w:ascii="Arial" w:cs="Arial" w:eastAsia="Arial" w:hAnsi="Arial"/>
                <w:b/>
                <w:bCs/>
                <w:color w:val="0078D4"/>
                <w:sz w:val="18"/>
                <w:szCs w:val="18"/>
              </w:rPr>
              <w:t xml:space="preserve">Cloud Provider</w:t>
            </w:r>
          </w:p>
          <w:p>
            <w:pPr>
              <w:jc w:val="center"/>
            </w:pPr>
            <w:r>
              <w:rPr>
                <w:rFonts w:ascii="Arial" w:cs="Arial" w:eastAsia="Arial" w:hAnsi="Arial"/>
                <w:color w:val="1A1A1A"/>
                <w:sz w:val="18"/>
                <w:szCs w:val="18"/>
              </w:rPr>
              <w:t xml:space="preserve">Microsoft Azure</w:t>
            </w:r>
          </w:p>
        </w:tc>
        <w:tc>
          <w:tcPr>
            <w:tcW w:type="dxa" w:w="2300"/>
            <w:tcBorders>
              <w:top w:val="single" w:color="A8D4F5" w:sz="1"/>
              <w:left w:val="single" w:color="A8D4F5" w:sz="1"/>
              <w:bottom w:val="single" w:color="A8D4F5" w:sz="1"/>
              <w:right w:val="single" w:color="A8D4F5" w:sz="1"/>
            </w:tcBorders>
            <w:shd w:fill="D0E8FA" w:val="clear"/>
            <w:tcMar>
              <w:top w:type="dxa" w:w="80"/>
              <w:left w:type="dxa" w:w="120"/>
              <w:bottom w:type="dxa" w:w="80"/>
              <w:right w:type="dxa" w:w="120"/>
            </w:tcMar>
          </w:tcPr>
          <w:p>
            <w:pPr>
              <w:jc w:val="center"/>
            </w:pPr>
            <w:r>
              <w:rPr>
                <w:rFonts w:ascii="Arial" w:cs="Arial" w:eastAsia="Arial" w:hAnsi="Arial"/>
                <w:b/>
                <w:bCs/>
                <w:color w:val="0078D4"/>
                <w:sz w:val="18"/>
                <w:szCs w:val="18"/>
              </w:rPr>
              <w:t xml:space="preserve">Scope</w:t>
            </w:r>
          </w:p>
          <w:p>
            <w:pPr>
              <w:jc w:val="center"/>
            </w:pPr>
            <w:r>
              <w:rPr>
                <w:rFonts w:ascii="Arial" w:cs="Arial" w:eastAsia="Arial" w:hAnsi="Arial"/>
                <w:color w:val="1A1A1A"/>
                <w:sz w:val="18"/>
                <w:szCs w:val="18"/>
              </w:rPr>
              <w:t xml:space="preserve">End-to-End Custom Domain</w:t>
            </w:r>
          </w:p>
        </w:tc>
        <w:tc>
          <w:tcPr>
            <w:tcW w:type="dxa" w:w="2300"/>
            <w:tcBorders>
              <w:top w:val="single" w:color="A8D4F5" w:sz="1"/>
              <w:left w:val="single" w:color="A8D4F5" w:sz="1"/>
              <w:bottom w:val="single" w:color="A8D4F5" w:sz="1"/>
              <w:right w:val="single" w:color="A8D4F5" w:sz="1"/>
            </w:tcBorders>
            <w:shd w:fill="D0E8FA" w:val="clear"/>
            <w:tcMar>
              <w:top w:type="dxa" w:w="80"/>
              <w:left w:type="dxa" w:w="120"/>
              <w:bottom w:type="dxa" w:w="80"/>
              <w:right w:type="dxa" w:w="120"/>
            </w:tcMar>
          </w:tcPr>
          <w:p>
            <w:pPr>
              <w:jc w:val="center"/>
            </w:pPr>
            <w:r>
              <w:rPr>
                <w:rFonts w:ascii="Arial" w:cs="Arial" w:eastAsia="Arial" w:hAnsi="Arial"/>
                <w:b/>
                <w:bCs/>
                <w:color w:val="0078D4"/>
                <w:sz w:val="18"/>
                <w:szCs w:val="18"/>
              </w:rPr>
              <w:t xml:space="preserve">Includes</w:t>
            </w:r>
          </w:p>
          <w:p>
            <w:pPr>
              <w:jc w:val="center"/>
            </w:pPr>
            <w:r>
              <w:rPr>
                <w:rFonts w:ascii="Arial" w:cs="Arial" w:eastAsia="Arial" w:hAnsi="Arial"/>
                <w:color w:val="1A1A1A"/>
                <w:sz w:val="18"/>
                <w:szCs w:val="18"/>
              </w:rPr>
              <w:t xml:space="preserve">TF + YAML + Q&amp;A</w:t>
            </w:r>
          </w:p>
        </w:tc>
      </w:tr>
    </w:tbl>
    <w:p>
      <w:pPr>
        <w:spacing w:after="0" w:before="400"/>
      </w:pPr>
      <w:r>
        <w:t xml:space="preserve"/>
      </w:r>
    </w:p>
    <w:p>
      <w:pPr>
        <w:pStyle w:val="Heading1"/>
        <w:pBdr>
          <w:bottom w:val="single" w:color="0078D4" w:sz="8" w:space="4"/>
        </w:pBdr>
        <w:spacing w:after="160" w:before="400"/>
      </w:pPr>
      <w:r>
        <w:rPr>
          <w:rFonts w:ascii="Arial" w:cs="Arial" w:eastAsia="Arial" w:hAnsi="Arial"/>
          <w:b/>
          <w:bCs/>
          <w:color w:val="0078D4"/>
          <w:sz w:val="36"/>
          <w:szCs w:val="36"/>
        </w:rPr>
        <w:t xml:space="preserve">Architecture Overview</w:t>
      </w:r>
    </w:p>
    <w:p>
      <w:pPr>
        <w:spacing w:after="60" w:before="60"/>
      </w:pPr>
      <w:r>
        <w:rPr>
          <w:rFonts w:ascii="Arial" w:cs="Arial" w:eastAsia="Arial" w:hAnsi="Arial"/>
          <w:color w:val="1A1A1A"/>
          <w:sz w:val="20"/>
          <w:szCs w:val="20"/>
        </w:rPr>
        <w:t xml:space="preserve">This guide covers the complete end-to-end setup of a custom domain in Azure, spanning all major layers: DNS, CDN/WAF edge, ingress, and backend workloads running on AKS.</w:t>
      </w:r>
    </w:p>
    <w:p>
      <w:pPr>
        <w:spacing w:after="0" w:before="100"/>
      </w:pPr>
      <w:r>
        <w:t xml:space="preserve"/>
      </w:r>
    </w:p>
    <w:p>
      <w:pPr>
        <w:pStyle w:val="Heading3"/>
        <w:spacing w:after="80" w:before="200"/>
      </w:pPr>
      <w:r>
        <w:rPr>
          <w:rFonts w:ascii="Arial" w:cs="Arial" w:eastAsia="Arial" w:hAnsi="Arial"/>
          <w:b/>
          <w:bCs/>
          <w:color w:val="0078D4"/>
          <w:sz w:val="24"/>
          <w:szCs w:val="24"/>
        </w:rPr>
        <w:t xml:space="preserve">Traffic Flow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00"/>
      </w:tblGrid>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User Browser</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Azure DNS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(app.yourdomain.com → CNAME → myapp.azurefd.net)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Azure Front Door (Global Edge – WAF, SSL, CDN, HA)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Azure Application Gateway (L7 LB – URL routing, TLS term)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AGIC (App Gateway Ingress Controller for AKS)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Kubernetes Ingress Resource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AKS Backend Pods  (Deployment / Service)</w:t>
            </w:r>
          </w:p>
        </w:tc>
      </w:tr>
    </w:tbl>
    <w:p>
      <w:pPr>
        <w:spacing w:after="0" w:before="100"/>
      </w:pPr>
      <w:r>
        <w:t xml:space="preserve"/>
      </w:r>
    </w:p>
    <w:p>
      <w:pPr>
        <w:pStyle w:val="Heading3"/>
        <w:spacing w:after="80" w:before="200"/>
      </w:pPr>
      <w:r>
        <w:rPr>
          <w:rFonts w:ascii="Arial" w:cs="Arial" w:eastAsia="Arial" w:hAnsi="Arial"/>
          <w:b/>
          <w:bCs/>
          <w:color w:val="0078D4"/>
          <w:sz w:val="24"/>
          <w:szCs w:val="24"/>
        </w:rPr>
        <w:t xml:space="preserve">Component Responsibilities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0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Azure DNS</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Authoritative DNS: CNAME/A records pointing custom domain to Azure endpoints</w:t>
            </w:r>
          </w:p>
        </w:tc>
      </w:tr>
      <w:tr>
        <w:tc>
          <w:tcPr>
            <w:tcW w:type="dxa" w:w="3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Azure App Service Domain</w:t>
            </w:r>
          </w:p>
        </w:tc>
        <w:tc>
          <w:tcPr>
            <w:tcW w:type="dxa" w:w="6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Buy &amp; manage custom domain name directly through Azure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Azure Front Door</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Global anycast CDN, WAF, TLS offload, health probes, A/B routing</w:t>
            </w:r>
          </w:p>
        </w:tc>
      </w:tr>
      <w:tr>
        <w:tc>
          <w:tcPr>
            <w:tcW w:type="dxa" w:w="3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Application Gateway</w:t>
            </w:r>
          </w:p>
        </w:tc>
        <w:tc>
          <w:tcPr>
            <w:tcW w:type="dxa" w:w="6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Regional L7 load balancer, path/host routing, SSL termination, WAF</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AGIC</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Syncs K8s Ingress objects to Application Gateway config automatically</w:t>
            </w:r>
          </w:p>
        </w:tc>
      </w:tr>
      <w:tr>
        <w:tc>
          <w:tcPr>
            <w:tcW w:type="dxa" w:w="3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Kubernetes Ingress</w:t>
            </w:r>
          </w:p>
        </w:tc>
        <w:tc>
          <w:tcPr>
            <w:tcW w:type="dxa" w:w="6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Declares routing rules (host, path → service) inside the cluster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AKS Pods</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The actual application workload running as containers</w:t>
            </w:r>
          </w:p>
        </w:tc>
      </w:tr>
    </w:tbl>
    <w:p>
      <w:pPr>
        <w:spacing w:after="0" w:before="200"/>
      </w:pPr>
      <w:r>
        <w:t xml:space="preserve"/>
      </w:r>
    </w:p>
    <w:p>
      <w:pPr>
        <w:pStyle w:val="Heading1"/>
        <w:pBdr>
          <w:bottom w:val="single" w:color="0078D4" w:sz="8" w:space="4"/>
        </w:pBdr>
        <w:spacing w:after="160" w:before="400"/>
      </w:pPr>
      <w:r>
        <w:rPr>
          <w:rFonts w:ascii="Arial" w:cs="Arial" w:eastAsia="Arial" w:hAnsi="Arial"/>
          <w:b/>
          <w:bCs/>
          <w:color w:val="0078D4"/>
          <w:sz w:val="36"/>
          <w:szCs w:val="36"/>
        </w:rPr>
        <w:t xml:space="preserve">1. Azure App Service Domain</w:t>
      </w:r>
    </w:p>
    <w:p>
      <w:pPr>
        <w:pStyle w:val="Heading2"/>
        <w:pBdr>
          <w:bottom w:val="single" w:color="D0EFF3" w:sz="4" w:space="2"/>
        </w:pBdr>
        <w:spacing w:after="120" w:before="300"/>
      </w:pPr>
      <w:r>
        <w:rPr>
          <w:rFonts w:ascii="Arial" w:cs="Arial" w:eastAsia="Arial" w:hAnsi="Arial"/>
          <w:b/>
          <w:bCs/>
          <w:color w:val="00788A"/>
          <w:sz w:val="28"/>
          <w:szCs w:val="28"/>
        </w:rPr>
        <w:t xml:space="preserve">What is it?</w:t>
      </w:r>
    </w:p>
    <w:p>
      <w:pPr>
        <w:spacing w:after="60" w:before="60"/>
      </w:pPr>
      <w:r>
        <w:rPr>
          <w:rFonts w:ascii="Arial" w:cs="Arial" w:eastAsia="Arial" w:hAnsi="Arial"/>
          <w:color w:val="1A1A1A"/>
          <w:sz w:val="20"/>
          <w:szCs w:val="20"/>
        </w:rPr>
        <w:t xml:space="preserve">Azure App Service Domain lets you purchase and manage a custom domain (e.g., yourdomain.com) directly from the Azure Portal. It uses GoDaddy as the registrar under the hood but is fully managed through Azure Resource Manager (ARM). Purchased domains are automatically integrated with Azure DNS.</w:t>
      </w:r>
    </w:p>
    <w:p>
      <w:pPr>
        <w:spacing w:after="0" w:before="80"/>
      </w:pPr>
      <w:r>
        <w:t xml:space="preserve"/>
      </w:r>
    </w:p>
    <w:p>
      <w:pPr>
        <w:pStyle w:val="Heading2"/>
        <w:pBdr>
          <w:bottom w:val="single" w:color="D0EFF3" w:sz="4" w:space="2"/>
        </w:pBdr>
        <w:spacing w:after="120" w:before="300"/>
      </w:pPr>
      <w:r>
        <w:rPr>
          <w:rFonts w:ascii="Arial" w:cs="Arial" w:eastAsia="Arial" w:hAnsi="Arial"/>
          <w:b/>
          <w:bCs/>
          <w:color w:val="00788A"/>
          <w:sz w:val="28"/>
          <w:szCs w:val="28"/>
        </w:rPr>
        <w:t xml:space="preserve">Step-by-Step: Purchase &amp; Configure</w:t>
      </w:r>
    </w:p>
    <w:p>
      <w:pPr>
        <w:pStyle w:val="ListParagraph"/>
        <w:numPr>
          <w:ilvl w:val="0"/>
          <w:numId w:val="2"/>
        </w:numPr>
        <w:spacing w:after="40" w:before="40"/>
      </w:pPr>
      <w:r>
        <w:rPr>
          <w:rFonts w:ascii="Arial" w:cs="Arial" w:eastAsia="Arial" w:hAnsi="Arial"/>
          <w:color w:val="1A1A1A"/>
          <w:sz w:val="20"/>
          <w:szCs w:val="20"/>
        </w:rPr>
        <w:t xml:space="preserve">Navigate to Azure Portal → search 'App Service Domains' → Create</w:t>
      </w:r>
    </w:p>
    <w:p>
      <w:pPr>
        <w:pStyle w:val="ListParagraph"/>
        <w:numPr>
          <w:ilvl w:val="0"/>
          <w:numId w:val="2"/>
        </w:numPr>
        <w:spacing w:after="40" w:before="40"/>
      </w:pPr>
      <w:r>
        <w:rPr>
          <w:rFonts w:ascii="Arial" w:cs="Arial" w:eastAsia="Arial" w:hAnsi="Arial"/>
          <w:color w:val="1A1A1A"/>
          <w:sz w:val="20"/>
          <w:szCs w:val="20"/>
        </w:rPr>
        <w:t xml:space="preserve">Fill in: Subscription, Resource Group, domain name (e.g., myapp.com)</w:t>
      </w:r>
    </w:p>
    <w:p>
      <w:pPr>
        <w:pStyle w:val="ListParagraph"/>
        <w:numPr>
          <w:ilvl w:val="0"/>
          <w:numId w:val="2"/>
        </w:numPr>
        <w:spacing w:after="40" w:before="40"/>
      </w:pPr>
      <w:r>
        <w:rPr>
          <w:rFonts w:ascii="Arial" w:cs="Arial" w:eastAsia="Arial" w:hAnsi="Arial"/>
          <w:color w:val="1A1A1A"/>
          <w:sz w:val="20"/>
          <w:szCs w:val="20"/>
        </w:rPr>
        <w:t xml:space="preserve">Provide contact information (WHOIS registration)</w:t>
      </w:r>
    </w:p>
    <w:p>
      <w:pPr>
        <w:pStyle w:val="ListParagraph"/>
        <w:numPr>
          <w:ilvl w:val="0"/>
          <w:numId w:val="2"/>
        </w:numPr>
        <w:spacing w:after="40" w:before="40"/>
      </w:pPr>
      <w:r>
        <w:rPr>
          <w:rFonts w:ascii="Arial" w:cs="Arial" w:eastAsia="Arial" w:hAnsi="Arial"/>
          <w:color w:val="1A1A1A"/>
          <w:sz w:val="20"/>
          <w:szCs w:val="20"/>
        </w:rPr>
        <w:t xml:space="preserve">Choose auto-renew and privacy protection options</w:t>
      </w:r>
    </w:p>
    <w:p>
      <w:pPr>
        <w:pStyle w:val="ListParagraph"/>
        <w:numPr>
          <w:ilvl w:val="0"/>
          <w:numId w:val="2"/>
        </w:numPr>
        <w:spacing w:after="40" w:before="40"/>
      </w:pPr>
      <w:r>
        <w:rPr>
          <w:rFonts w:ascii="Arial" w:cs="Arial" w:eastAsia="Arial" w:hAnsi="Arial"/>
          <w:color w:val="1A1A1A"/>
          <w:sz w:val="20"/>
          <w:szCs w:val="20"/>
        </w:rPr>
        <w:t xml:space="preserve">Review + Create → domain is created and an Azure DNS zone is auto-provisioned</w:t>
      </w:r>
    </w:p>
    <w:p>
      <w:pPr>
        <w:pStyle w:val="ListParagraph"/>
        <w:numPr>
          <w:ilvl w:val="0"/>
          <w:numId w:val="2"/>
        </w:numPr>
        <w:spacing w:after="40" w:before="40"/>
      </w:pPr>
      <w:r>
        <w:rPr>
          <w:rFonts w:ascii="Arial" w:cs="Arial" w:eastAsia="Arial" w:hAnsi="Arial"/>
          <w:color w:val="1A1A1A"/>
          <w:sz w:val="20"/>
          <w:szCs w:val="20"/>
        </w:rPr>
        <w:t xml:space="preserve">Go to 'Manage DNS records' to add CNAME/A records for subdomains</w:t>
      </w:r>
    </w:p>
    <w:p>
      <w:pPr>
        <w:spacing w:after="0" w:before="100"/>
      </w:pPr>
      <w:r>
        <w:t xml:space="preserve"/>
      </w:r>
    </w:p>
    <w:p>
      <w:pPr>
        <w:pStyle w:val="Heading2"/>
        <w:pBdr>
          <w:bottom w:val="single" w:color="D0EFF3" w:sz="4" w:space="2"/>
        </w:pBdr>
        <w:spacing w:after="120" w:before="300"/>
      </w:pPr>
      <w:r>
        <w:rPr>
          <w:rFonts w:ascii="Arial" w:cs="Arial" w:eastAsia="Arial" w:hAnsi="Arial"/>
          <w:b/>
          <w:bCs/>
          <w:color w:val="00788A"/>
          <w:sz w:val="28"/>
          <w:szCs w:val="28"/>
        </w:rPr>
        <w:t xml:space="preserve">Terraform Code</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00"/>
      </w:tblGrid>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variables.tf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variable "resource_group_name"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description = "RG where domain resources live"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default     = "rg-custom-domain"</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variable "domain_name"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description = "Fully qualified domain to purchase"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default     = "myapp.com"</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variable "location"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default = "eastus"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w:t>
            </w:r>
          </w:p>
        </w:tc>
      </w:tr>
    </w:tbl>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00"/>
      </w:tblGrid>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main.tf – App Service Domain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resource "azurerm_resource_group" "main"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 var.resource_group_name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location = var.location</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NOTE: App Service Domain is purchased via ARM REST API.</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Terraform uses azurerm_app_service_domain (azurerm &gt;= 3.60)</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resource "azurerm_app_service_domain" "custom"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 var.domain_name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resource_group_name = azurerm_resource_group.main.name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contact_admin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email        = "admin@example.com"</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first_name   = "John"</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last_name    = "Doe"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phone        = "+1.4255550100"</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address_mailing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address1    = "123 Main St"</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city        = "Redmond"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country     = "US"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postal_code = "98052"</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state       = "WA"</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contact_billing   = /* same block */ null</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contact_registrant = /* same block */ null</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contact_tech      = /* same block */ null</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auto_renew = true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privacy    = true   # Enables WHOIS privacy</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Auto-renewal alert (optional – send email 30 days before)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resource "azurerm_monitor_activity_log_alert" "domain_renew"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 "domain-expiry-alert"</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resource_group_name = azurerm_resource_group.main.name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scopes              = [azurerm_app_service_domain.custom.id]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description         = "Alert before domain expires"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criteria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category = "Administrative"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operation_name = "Microsoft.DomainRegistration/domains/renew/action"</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w:t>
            </w:r>
          </w:p>
        </w:tc>
      </w:tr>
    </w:tbl>
    <w:p>
      <w:pPr>
        <w:spacing w:after="0" w:before="100"/>
      </w:pPr>
      <w:r>
        <w:t xml:space="preserve"/>
      </w:r>
    </w:p>
    <w:p>
      <w:pPr>
        <w:pStyle w:val="Heading2"/>
        <w:pBdr>
          <w:bottom w:val="single" w:color="D0EFF3" w:sz="4" w:space="2"/>
        </w:pBdr>
        <w:spacing w:after="120" w:before="300"/>
      </w:pPr>
      <w:r>
        <w:rPr>
          <w:rFonts w:ascii="Arial" w:cs="Arial" w:eastAsia="Arial" w:hAnsi="Arial"/>
          <w:b/>
          <w:bCs/>
          <w:color w:val="00788A"/>
          <w:sz w:val="28"/>
          <w:szCs w:val="28"/>
        </w:rPr>
        <w:t xml:space="preserve">Interview Q &amp; 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8D4" w:sz="1"/>
              <w:left w:val="single" w:color="0078D4" w:sz="1"/>
              <w:bottom w:val="single" w:color="0078D4" w:sz="1"/>
              <w:right w:val="single" w:color="0078D4" w:sz="1"/>
            </w:tcBorders>
            <w:shd w:fill="D0E8FA" w:val="clear"/>
            <w:tcMar>
              <w:top w:type="dxa" w:w="80"/>
              <w:left w:type="dxa" w:w="160"/>
              <w:bottom w:type="dxa" w:w="80"/>
              <w:right w:type="dxa" w:w="160"/>
            </w:tcMar>
          </w:tcPr>
          <w:p>
            <w:r>
              <w:rPr>
                <w:rFonts w:ascii="Arial" w:cs="Arial" w:eastAsia="Arial" w:hAnsi="Arial"/>
                <w:b/>
                <w:bCs/>
                <w:color w:val="0078D4"/>
                <w:sz w:val="20"/>
                <w:szCs w:val="20"/>
              </w:rPr>
              <w:t xml:space="preserve">Q: </w:t>
            </w:r>
            <w:r>
              <w:rPr>
                <w:rFonts w:ascii="Arial" w:cs="Arial" w:eastAsia="Arial" w:hAnsi="Arial"/>
                <w:b/>
                <w:bCs/>
                <w:color w:val="1A1A1A"/>
                <w:sz w:val="20"/>
                <w:szCs w:val="20"/>
              </w:rPr>
              <w:t xml:space="preserve">What is Azure App Service Domain and how does it differ from buying a domain externally?</w:t>
            </w:r>
          </w:p>
        </w:tc>
      </w:tr>
      <w:tr>
        <w:tc>
          <w:tcPr>
            <w:tcW w:type="dxa" w:w="9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88A"/>
                <w:sz w:val="20"/>
                <w:szCs w:val="20"/>
              </w:rPr>
              <w:t xml:space="preserve">A: </w:t>
            </w:r>
            <w:r>
              <w:rPr>
                <w:rFonts w:ascii="Arial" w:cs="Arial" w:eastAsia="Arial" w:hAnsi="Arial"/>
                <w:color w:val="1A1A1A"/>
                <w:sz w:val="20"/>
                <w:szCs w:val="20"/>
              </w:rPr>
              <w:t xml:space="preserve">Azure App Service Domain is Azure's built-in domain registration service (backed by GoDaddy). The key advantage is native ARM integration — when you buy a domain, an Azure DNS zone is automatically created and the domain is linked. With external registrars you must manually configure NS records to delegate to Azure DNS. Use App Service Domain for simplicity; external if you already own the domain.</w:t>
            </w:r>
          </w:p>
        </w:tc>
      </w:tr>
      <w:tr>
        <w:tc>
          <w:tcPr>
            <w:tcW w:type="dxa" w:w="9200"/>
            <w:tcBorders>
              <w:top w:val="single" w:color="0078D4" w:sz="1"/>
              <w:left w:val="single" w:color="0078D4" w:sz="1"/>
              <w:bottom w:val="single" w:color="0078D4" w:sz="1"/>
              <w:right w:val="single" w:color="0078D4" w:sz="1"/>
            </w:tcBorders>
            <w:shd w:fill="D0E8FA" w:val="clear"/>
            <w:tcMar>
              <w:top w:type="dxa" w:w="80"/>
              <w:left w:type="dxa" w:w="160"/>
              <w:bottom w:type="dxa" w:w="80"/>
              <w:right w:type="dxa" w:w="160"/>
            </w:tcMar>
          </w:tcPr>
          <w:p>
            <w:r>
              <w:rPr>
                <w:rFonts w:ascii="Arial" w:cs="Arial" w:eastAsia="Arial" w:hAnsi="Arial"/>
                <w:b/>
                <w:bCs/>
                <w:color w:val="0078D4"/>
                <w:sz w:val="20"/>
                <w:szCs w:val="20"/>
              </w:rPr>
              <w:t xml:space="preserve">Q: </w:t>
            </w:r>
            <w:r>
              <w:rPr>
                <w:rFonts w:ascii="Arial" w:cs="Arial" w:eastAsia="Arial" w:hAnsi="Arial"/>
                <w:b/>
                <w:bCs/>
                <w:color w:val="1A1A1A"/>
                <w:sz w:val="20"/>
                <w:szCs w:val="20"/>
              </w:rPr>
              <w:t xml:space="preserve">Can you manage an App Service Domain via Terraform?</w:t>
            </w:r>
          </w:p>
        </w:tc>
      </w:tr>
      <w:tr>
        <w:tc>
          <w:tcPr>
            <w:tcW w:type="dxa" w:w="9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88A"/>
                <w:sz w:val="20"/>
                <w:szCs w:val="20"/>
              </w:rPr>
              <w:t xml:space="preserve">A: </w:t>
            </w:r>
            <w:r>
              <w:rPr>
                <w:rFonts w:ascii="Arial" w:cs="Arial" w:eastAsia="Arial" w:hAnsi="Arial"/>
                <w:color w:val="1A1A1A"/>
                <w:sz w:val="20"/>
                <w:szCs w:val="20"/>
              </w:rPr>
              <w:t xml:space="preserve">Yes, using the azurerm_app_service_domain resource (available in azurerm provider &gt;= 3.60). You must provide complete contact information for WHOIS. Note that the purchase itself triggers a real billing charge — always use `terraform plan` and guard with lifecycle prevent_destroy.</w:t>
            </w:r>
          </w:p>
        </w:tc>
      </w:tr>
      <w:tr>
        <w:tc>
          <w:tcPr>
            <w:tcW w:type="dxa" w:w="9200"/>
            <w:tcBorders>
              <w:top w:val="single" w:color="0078D4" w:sz="1"/>
              <w:left w:val="single" w:color="0078D4" w:sz="1"/>
              <w:bottom w:val="single" w:color="0078D4" w:sz="1"/>
              <w:right w:val="single" w:color="0078D4" w:sz="1"/>
            </w:tcBorders>
            <w:shd w:fill="D0E8FA" w:val="clear"/>
            <w:tcMar>
              <w:top w:type="dxa" w:w="80"/>
              <w:left w:type="dxa" w:w="160"/>
              <w:bottom w:type="dxa" w:w="80"/>
              <w:right w:type="dxa" w:w="160"/>
            </w:tcMar>
          </w:tcPr>
          <w:p>
            <w:r>
              <w:rPr>
                <w:rFonts w:ascii="Arial" w:cs="Arial" w:eastAsia="Arial" w:hAnsi="Arial"/>
                <w:b/>
                <w:bCs/>
                <w:color w:val="0078D4"/>
                <w:sz w:val="20"/>
                <w:szCs w:val="20"/>
              </w:rPr>
              <w:t xml:space="preserve">Q: </w:t>
            </w:r>
            <w:r>
              <w:rPr>
                <w:rFonts w:ascii="Arial" w:cs="Arial" w:eastAsia="Arial" w:hAnsi="Arial"/>
                <w:b/>
                <w:bCs/>
                <w:color w:val="1A1A1A"/>
                <w:sz w:val="20"/>
                <w:szCs w:val="20"/>
              </w:rPr>
              <w:t xml:space="preserve">How do you prevent accidental Terraform deletion of a purchased domain?</w:t>
            </w:r>
          </w:p>
        </w:tc>
      </w:tr>
      <w:tr>
        <w:tc>
          <w:tcPr>
            <w:tcW w:type="dxa" w:w="9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88A"/>
                <w:sz w:val="20"/>
                <w:szCs w:val="20"/>
              </w:rPr>
              <w:t xml:space="preserve">A: </w:t>
            </w:r>
            <w:r>
              <w:rPr>
                <w:rFonts w:ascii="Arial" w:cs="Arial" w:eastAsia="Arial" w:hAnsi="Arial"/>
                <w:color w:val="1A1A1A"/>
                <w:sz w:val="20"/>
                <w:szCs w:val="20"/>
              </w:rPr>
              <w:t xml:space="preserve">Add `lifecycle { prevent_destroy = true }` on the azurerm_app_service_domain resource. This causes `terraform destroy` to error instead of deleting the domain registration.</w:t>
            </w:r>
          </w:p>
        </w:tc>
      </w:tr>
      <w:tr>
        <w:tc>
          <w:tcPr>
            <w:tcW w:type="dxa" w:w="9200"/>
            <w:tcBorders>
              <w:top w:val="single" w:color="0078D4" w:sz="1"/>
              <w:left w:val="single" w:color="0078D4" w:sz="1"/>
              <w:bottom w:val="single" w:color="0078D4" w:sz="1"/>
              <w:right w:val="single" w:color="0078D4" w:sz="1"/>
            </w:tcBorders>
            <w:shd w:fill="D0E8FA" w:val="clear"/>
            <w:tcMar>
              <w:top w:type="dxa" w:w="80"/>
              <w:left w:type="dxa" w:w="160"/>
              <w:bottom w:type="dxa" w:w="80"/>
              <w:right w:type="dxa" w:w="160"/>
            </w:tcMar>
          </w:tcPr>
          <w:p>
            <w:r>
              <w:rPr>
                <w:rFonts w:ascii="Arial" w:cs="Arial" w:eastAsia="Arial" w:hAnsi="Arial"/>
                <w:b/>
                <w:bCs/>
                <w:color w:val="0078D4"/>
                <w:sz w:val="20"/>
                <w:szCs w:val="20"/>
              </w:rPr>
              <w:t xml:space="preserve">Q: </w:t>
            </w:r>
            <w:r>
              <w:rPr>
                <w:rFonts w:ascii="Arial" w:cs="Arial" w:eastAsia="Arial" w:hAnsi="Arial"/>
                <w:b/>
                <w:bCs/>
                <w:color w:val="1A1A1A"/>
                <w:sz w:val="20"/>
                <w:szCs w:val="20"/>
              </w:rPr>
              <w:t xml:space="preserve">What happens to the DNS zone when you delete an App Service Domain in Azure?</w:t>
            </w:r>
          </w:p>
        </w:tc>
      </w:tr>
      <w:tr>
        <w:tc>
          <w:tcPr>
            <w:tcW w:type="dxa" w:w="9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88A"/>
                <w:sz w:val="20"/>
                <w:szCs w:val="20"/>
              </w:rPr>
              <w:t xml:space="preserve">A: </w:t>
            </w:r>
            <w:r>
              <w:rPr>
                <w:rFonts w:ascii="Arial" w:cs="Arial" w:eastAsia="Arial" w:hAnsi="Arial"/>
                <w:color w:val="1A1A1A"/>
                <w:sz w:val="20"/>
                <w:szCs w:val="20"/>
              </w:rPr>
              <w:t xml:space="preserve">The DNS zone is NOT automatically deleted — it's an independent resource. You must manually delete the azurerm_dns_zone resource or it will continue to incur charges. Plan cleanup carefully.</w:t>
            </w:r>
          </w:p>
        </w:tc>
      </w:tr>
    </w:tbl>
    <w:p>
      <w:pPr>
        <w:spacing w:after="0" w:before="200"/>
      </w:pPr>
      <w:r>
        <w:t xml:space="preserve"/>
      </w:r>
    </w:p>
    <w:p>
      <w:pPr>
        <w:pStyle w:val="Heading1"/>
        <w:pBdr>
          <w:bottom w:val="single" w:color="0078D4" w:sz="8" w:space="4"/>
        </w:pBdr>
        <w:spacing w:after="160" w:before="400"/>
      </w:pPr>
      <w:r>
        <w:rPr>
          <w:rFonts w:ascii="Arial" w:cs="Arial" w:eastAsia="Arial" w:hAnsi="Arial"/>
          <w:b/>
          <w:bCs/>
          <w:color w:val="0078D4"/>
          <w:sz w:val="36"/>
          <w:szCs w:val="36"/>
        </w:rPr>
        <w:t xml:space="preserve">2. Azure DNS</w:t>
      </w:r>
    </w:p>
    <w:p>
      <w:pPr>
        <w:pStyle w:val="Heading2"/>
        <w:pBdr>
          <w:bottom w:val="single" w:color="D0EFF3" w:sz="4" w:space="2"/>
        </w:pBdr>
        <w:spacing w:after="120" w:before="300"/>
      </w:pPr>
      <w:r>
        <w:rPr>
          <w:rFonts w:ascii="Arial" w:cs="Arial" w:eastAsia="Arial" w:hAnsi="Arial"/>
          <w:b/>
          <w:bCs/>
          <w:color w:val="00788A"/>
          <w:sz w:val="28"/>
          <w:szCs w:val="28"/>
        </w:rPr>
        <w:t xml:space="preserve">What is it?</w:t>
      </w:r>
    </w:p>
    <w:p>
      <w:pPr>
        <w:spacing w:after="60" w:before="60"/>
      </w:pPr>
      <w:r>
        <w:rPr>
          <w:rFonts w:ascii="Arial" w:cs="Arial" w:eastAsia="Arial" w:hAnsi="Arial"/>
          <w:color w:val="1A1A1A"/>
          <w:sz w:val="20"/>
          <w:szCs w:val="20"/>
        </w:rPr>
        <w:t xml:space="preserve">Azure DNS is a hosting service for DNS domains. It provides name resolution using Microsoft Azure infrastructure. When you host your domain in Azure DNS, you manage DNS records using the same credentials, billing, and support as your other Azure services. Azure DNS supports A, AAAA, CNAME, MX, NS, PTR, SOA, SRV, TXT, and CAA record types. It also supports alias records that point to Azure resource IDs.</w:t>
      </w:r>
    </w:p>
    <w:p>
      <w:pPr>
        <w:spacing w:after="0" w:before="80"/>
      </w:pPr>
      <w:r>
        <w:t xml:space="preserve"/>
      </w:r>
    </w:p>
    <w:p>
      <w:pPr>
        <w:pStyle w:val="Heading2"/>
        <w:pBdr>
          <w:bottom w:val="single" w:color="D0EFF3" w:sz="4" w:space="2"/>
        </w:pBdr>
        <w:spacing w:after="120" w:before="300"/>
      </w:pPr>
      <w:r>
        <w:rPr>
          <w:rFonts w:ascii="Arial" w:cs="Arial" w:eastAsia="Arial" w:hAnsi="Arial"/>
          <w:b/>
          <w:bCs/>
          <w:color w:val="00788A"/>
          <w:sz w:val="28"/>
          <w:szCs w:val="28"/>
        </w:rPr>
        <w:t xml:space="preserve">Key Concepts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Record Type</w:t>
            </w:r>
          </w:p>
        </w:tc>
        <w:tc>
          <w:tcPr>
            <w:tcW w:type="dxa" w:w="620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Use Case in Custom Domain Setup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 record</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Point root domain (yourdomain.com) to an IP address</w:t>
            </w:r>
          </w:p>
        </w:tc>
      </w:tr>
      <w:tr>
        <w:tc>
          <w:tcPr>
            <w:tcW w:type="dxa" w:w="3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CNAME</w:t>
            </w:r>
          </w:p>
        </w:tc>
        <w:tc>
          <w:tcPr>
            <w:tcW w:type="dxa" w:w="6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Point subdomain (app.yourdomain.com) to an Azure FQDN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Alias record</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Zero-TTL pointer to Azure resource (Front Door, Traffic Manager, etc.)</w:t>
            </w:r>
          </w:p>
        </w:tc>
      </w:tr>
      <w:tr>
        <w:tc>
          <w:tcPr>
            <w:tcW w:type="dxa" w:w="3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TXT record</w:t>
            </w:r>
          </w:p>
        </w:tc>
        <w:tc>
          <w:tcPr>
            <w:tcW w:type="dxa" w:w="6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Domain verification for Azure services (App Service, Front Door)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NS record</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Nameserver delegation – auto-created when DNS zone is created</w:t>
            </w:r>
          </w:p>
        </w:tc>
      </w:tr>
    </w:tbl>
    <w:p>
      <w:pPr>
        <w:spacing w:after="0" w:before="80"/>
      </w:pPr>
      <w:r>
        <w:t xml:space="preserve"/>
      </w:r>
    </w:p>
    <w:p>
      <w:pPr>
        <w:pStyle w:val="Heading2"/>
        <w:pBdr>
          <w:bottom w:val="single" w:color="D0EFF3" w:sz="4" w:space="2"/>
        </w:pBdr>
        <w:spacing w:after="120" w:before="300"/>
      </w:pPr>
      <w:r>
        <w:rPr>
          <w:rFonts w:ascii="Arial" w:cs="Arial" w:eastAsia="Arial" w:hAnsi="Arial"/>
          <w:b/>
          <w:bCs/>
          <w:color w:val="00788A"/>
          <w:sz w:val="28"/>
          <w:szCs w:val="28"/>
        </w:rPr>
        <w:t xml:space="preserve">Step-by-Step</w:t>
      </w:r>
    </w:p>
    <w:p>
      <w:pPr>
        <w:pStyle w:val="ListParagraph"/>
        <w:numPr>
          <w:ilvl w:val="0"/>
          <w:numId w:val="2"/>
        </w:numPr>
        <w:spacing w:after="40" w:before="40"/>
      </w:pPr>
      <w:r>
        <w:rPr>
          <w:rFonts w:ascii="Arial" w:cs="Arial" w:eastAsia="Arial" w:hAnsi="Arial"/>
          <w:color w:val="1A1A1A"/>
          <w:sz w:val="20"/>
          <w:szCs w:val="20"/>
        </w:rPr>
        <w:t xml:space="preserve">Create DNS Zone (if not auto-created by App Service Domain)</w:t>
      </w:r>
    </w:p>
    <w:p>
      <w:pPr>
        <w:pStyle w:val="ListParagraph"/>
        <w:numPr>
          <w:ilvl w:val="0"/>
          <w:numId w:val="2"/>
        </w:numPr>
        <w:spacing w:after="40" w:before="40"/>
      </w:pPr>
      <w:r>
        <w:rPr>
          <w:rFonts w:ascii="Arial" w:cs="Arial" w:eastAsia="Arial" w:hAnsi="Arial"/>
          <w:color w:val="1A1A1A"/>
          <w:sz w:val="20"/>
          <w:szCs w:val="20"/>
        </w:rPr>
        <w:t xml:space="preserve">Note the 4 NS records generated – update these at your external registrar</w:t>
      </w:r>
    </w:p>
    <w:p>
      <w:pPr>
        <w:pStyle w:val="ListParagraph"/>
        <w:numPr>
          <w:ilvl w:val="0"/>
          <w:numId w:val="2"/>
        </w:numPr>
        <w:spacing w:after="40" w:before="40"/>
      </w:pPr>
      <w:r>
        <w:rPr>
          <w:rFonts w:ascii="Arial" w:cs="Arial" w:eastAsia="Arial" w:hAnsi="Arial"/>
          <w:color w:val="1A1A1A"/>
          <w:sz w:val="20"/>
          <w:szCs w:val="20"/>
        </w:rPr>
        <w:t xml:space="preserve">Add an Alias record (A record with alias) pointing to Front Door or App Gateway public IP</w:t>
      </w:r>
    </w:p>
    <w:p>
      <w:pPr>
        <w:pStyle w:val="ListParagraph"/>
        <w:numPr>
          <w:ilvl w:val="0"/>
          <w:numId w:val="2"/>
        </w:numPr>
        <w:spacing w:after="40" w:before="40"/>
      </w:pPr>
      <w:r>
        <w:rPr>
          <w:rFonts w:ascii="Arial" w:cs="Arial" w:eastAsia="Arial" w:hAnsi="Arial"/>
          <w:color w:val="1A1A1A"/>
          <w:sz w:val="20"/>
          <w:szCs w:val="20"/>
        </w:rPr>
        <w:t xml:space="preserve">Add CNAME for www → your-app.azurefd.net</w:t>
      </w:r>
    </w:p>
    <w:p>
      <w:pPr>
        <w:pStyle w:val="ListParagraph"/>
        <w:numPr>
          <w:ilvl w:val="0"/>
          <w:numId w:val="2"/>
        </w:numPr>
        <w:spacing w:after="40" w:before="40"/>
      </w:pPr>
      <w:r>
        <w:rPr>
          <w:rFonts w:ascii="Arial" w:cs="Arial" w:eastAsia="Arial" w:hAnsi="Arial"/>
          <w:color w:val="1A1A1A"/>
          <w:sz w:val="20"/>
          <w:szCs w:val="20"/>
        </w:rPr>
        <w:t xml:space="preserve">Add TXT records for domain verification (required by Front Door, App Service)</w:t>
      </w:r>
    </w:p>
    <w:p>
      <w:pPr>
        <w:pStyle w:val="ListParagraph"/>
        <w:numPr>
          <w:ilvl w:val="0"/>
          <w:numId w:val="2"/>
        </w:numPr>
        <w:spacing w:after="40" w:before="40"/>
      </w:pPr>
      <w:r>
        <w:rPr>
          <w:rFonts w:ascii="Arial" w:cs="Arial" w:eastAsia="Arial" w:hAnsi="Arial"/>
          <w:color w:val="1A1A1A"/>
          <w:sz w:val="20"/>
          <w:szCs w:val="20"/>
        </w:rPr>
        <w:t xml:space="preserve">TTL: Use 60s during setup, increase to 3600s after validation</w:t>
      </w:r>
    </w:p>
    <w:p>
      <w:pPr>
        <w:spacing w:after="0" w:before="80"/>
      </w:pPr>
      <w:r>
        <w:t xml:space="preserve"/>
      </w:r>
    </w:p>
    <w:p>
      <w:pPr>
        <w:pStyle w:val="Heading2"/>
        <w:pBdr>
          <w:bottom w:val="single" w:color="D0EFF3" w:sz="4" w:space="2"/>
        </w:pBdr>
        <w:spacing w:after="120" w:before="300"/>
      </w:pPr>
      <w:r>
        <w:rPr>
          <w:rFonts w:ascii="Arial" w:cs="Arial" w:eastAsia="Arial" w:hAnsi="Arial"/>
          <w:b/>
          <w:bCs/>
          <w:color w:val="00788A"/>
          <w:sz w:val="28"/>
          <w:szCs w:val="28"/>
        </w:rPr>
        <w:t xml:space="preserve">Terraform Code</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00"/>
      </w:tblGrid>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dns.tf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resource "azurerm_dns_zone" "main"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 var.domain_name   # e.g. "myapp.com"</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resource_group_name = azurerm_resource_group.main.name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tags =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environment = "production"</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managed_by  = "terraform"</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A record aliased to App Gateway public IP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resource "azurerm_dns_a_record" "root"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zone_name           = azurerm_dns_zone.main.name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resource_group_name = azurerm_resource_group.main.name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ttl                 = 300</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target_resource_id  = azurerm_public_ip.appgw.id  # Alias record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CNAME → Front Door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resource "azurerm_dns_cname_record" "app"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 "app"   # app.myapp.com</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zone_name           = azurerm_dns_zone.main.name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resource_group_name = azurerm_resource_group.main.name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ttl                 = 300</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record              = azurerm_cdn_frontdoor_profile.main.resource_guid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OR use: "${var.frontdoor_name}.azurefd.net"</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TXT record for domain verification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resource "azurerm_dns_txt_record" "verify"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 "_dnsauth.app"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zone_name           = azurerm_dns_zone.main.name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resource_group_name = azurerm_resource_group.main.name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ttl                 = 3600</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record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value = var.front_door_verification_token  # from Front Door custom domain</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Output nameservers (to configure at registrar)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output "name_servers"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value = azurerm_dns_zone.main.name_servers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w:t>
            </w:r>
          </w:p>
        </w:tc>
      </w:tr>
    </w:tbl>
    <w:p>
      <w:pPr>
        <w:spacing w:after="0" w:before="100"/>
      </w:pPr>
      <w:r>
        <w:t xml:space="preserve"/>
      </w:r>
    </w:p>
    <w:p>
      <w:pPr>
        <w:pStyle w:val="Heading2"/>
        <w:pBdr>
          <w:bottom w:val="single" w:color="D0EFF3" w:sz="4" w:space="2"/>
        </w:pBdr>
        <w:spacing w:after="120" w:before="300"/>
      </w:pPr>
      <w:r>
        <w:rPr>
          <w:rFonts w:ascii="Arial" w:cs="Arial" w:eastAsia="Arial" w:hAnsi="Arial"/>
          <w:b/>
          <w:bCs/>
          <w:color w:val="00788A"/>
          <w:sz w:val="28"/>
          <w:szCs w:val="28"/>
        </w:rPr>
        <w:t xml:space="preserve">Interview Q &amp; 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8D4" w:sz="1"/>
              <w:left w:val="single" w:color="0078D4" w:sz="1"/>
              <w:bottom w:val="single" w:color="0078D4" w:sz="1"/>
              <w:right w:val="single" w:color="0078D4" w:sz="1"/>
            </w:tcBorders>
            <w:shd w:fill="D0E8FA" w:val="clear"/>
            <w:tcMar>
              <w:top w:type="dxa" w:w="80"/>
              <w:left w:type="dxa" w:w="160"/>
              <w:bottom w:type="dxa" w:w="80"/>
              <w:right w:type="dxa" w:w="160"/>
            </w:tcMar>
          </w:tcPr>
          <w:p>
            <w:r>
              <w:rPr>
                <w:rFonts w:ascii="Arial" w:cs="Arial" w:eastAsia="Arial" w:hAnsi="Arial"/>
                <w:b/>
                <w:bCs/>
                <w:color w:val="0078D4"/>
                <w:sz w:val="20"/>
                <w:szCs w:val="20"/>
              </w:rPr>
              <w:t xml:space="preserve">Q: </w:t>
            </w:r>
            <w:r>
              <w:rPr>
                <w:rFonts w:ascii="Arial" w:cs="Arial" w:eastAsia="Arial" w:hAnsi="Arial"/>
                <w:b/>
                <w:bCs/>
                <w:color w:val="1A1A1A"/>
                <w:sz w:val="20"/>
                <w:szCs w:val="20"/>
              </w:rPr>
              <w:t xml:space="preserve">What is the difference between a CNAME and an Alias record in Azure DNS?</w:t>
            </w:r>
          </w:p>
        </w:tc>
      </w:tr>
      <w:tr>
        <w:tc>
          <w:tcPr>
            <w:tcW w:type="dxa" w:w="9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88A"/>
                <w:sz w:val="20"/>
                <w:szCs w:val="20"/>
              </w:rPr>
              <w:t xml:space="preserve">A: </w:t>
            </w:r>
            <w:r>
              <w:rPr>
                <w:rFonts w:ascii="Arial" w:cs="Arial" w:eastAsia="Arial" w:hAnsi="Arial"/>
                <w:color w:val="1A1A1A"/>
                <w:sz w:val="20"/>
                <w:szCs w:val="20"/>
              </w:rPr>
              <w:t xml:space="preserve">CNAME is a standard DNS record that maps a hostname to another hostname. It cannot be used at the zone apex (root domain). An Azure Alias record is an Azure-specific extension of A/AAAA/CNAME that points directly to an Azure resource by resource ID. It's resolved at query time (zero-TTL effectively), automatically follows IP changes, and CAN be used at the zone apex — making it ideal for pointing yourdomain.com to Front Door or App Gateway.</w:t>
            </w:r>
          </w:p>
        </w:tc>
      </w:tr>
      <w:tr>
        <w:tc>
          <w:tcPr>
            <w:tcW w:type="dxa" w:w="9200"/>
            <w:tcBorders>
              <w:top w:val="single" w:color="0078D4" w:sz="1"/>
              <w:left w:val="single" w:color="0078D4" w:sz="1"/>
              <w:bottom w:val="single" w:color="0078D4" w:sz="1"/>
              <w:right w:val="single" w:color="0078D4" w:sz="1"/>
            </w:tcBorders>
            <w:shd w:fill="D0E8FA" w:val="clear"/>
            <w:tcMar>
              <w:top w:type="dxa" w:w="80"/>
              <w:left w:type="dxa" w:w="160"/>
              <w:bottom w:type="dxa" w:w="80"/>
              <w:right w:type="dxa" w:w="160"/>
            </w:tcMar>
          </w:tcPr>
          <w:p>
            <w:r>
              <w:rPr>
                <w:rFonts w:ascii="Arial" w:cs="Arial" w:eastAsia="Arial" w:hAnsi="Arial"/>
                <w:b/>
                <w:bCs/>
                <w:color w:val="0078D4"/>
                <w:sz w:val="20"/>
                <w:szCs w:val="20"/>
              </w:rPr>
              <w:t xml:space="preserve">Q: </w:t>
            </w:r>
            <w:r>
              <w:rPr>
                <w:rFonts w:ascii="Arial" w:cs="Arial" w:eastAsia="Arial" w:hAnsi="Arial"/>
                <w:b/>
                <w:bCs/>
                <w:color w:val="1A1A1A"/>
                <w:sz w:val="20"/>
                <w:szCs w:val="20"/>
              </w:rPr>
              <w:t xml:space="preserve">How do you delegate a subdomain to Azure DNS from an external registrar?</w:t>
            </w:r>
          </w:p>
        </w:tc>
      </w:tr>
      <w:tr>
        <w:tc>
          <w:tcPr>
            <w:tcW w:type="dxa" w:w="9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88A"/>
                <w:sz w:val="20"/>
                <w:szCs w:val="20"/>
              </w:rPr>
              <w:t xml:space="preserve">A: </w:t>
            </w:r>
            <w:r>
              <w:rPr>
                <w:rFonts w:ascii="Arial" w:cs="Arial" w:eastAsia="Arial" w:hAnsi="Arial"/>
                <w:color w:val="1A1A1A"/>
                <w:sz w:val="20"/>
                <w:szCs w:val="20"/>
              </w:rPr>
              <w:t xml:space="preserve">Create a DNS zone for the subdomain in Azure (e.g., sub.myapp.com). Azure generates NS records for that zone. Go to the parent domain's DNS provider, and add NS records pointing sub.myapp.com to the Azure nameservers. This delegates all queries for that subdomain to Azure DNS.</w:t>
            </w:r>
          </w:p>
        </w:tc>
      </w:tr>
      <w:tr>
        <w:tc>
          <w:tcPr>
            <w:tcW w:type="dxa" w:w="9200"/>
            <w:tcBorders>
              <w:top w:val="single" w:color="0078D4" w:sz="1"/>
              <w:left w:val="single" w:color="0078D4" w:sz="1"/>
              <w:bottom w:val="single" w:color="0078D4" w:sz="1"/>
              <w:right w:val="single" w:color="0078D4" w:sz="1"/>
            </w:tcBorders>
            <w:shd w:fill="D0E8FA" w:val="clear"/>
            <w:tcMar>
              <w:top w:type="dxa" w:w="80"/>
              <w:left w:type="dxa" w:w="160"/>
              <w:bottom w:type="dxa" w:w="80"/>
              <w:right w:type="dxa" w:w="160"/>
            </w:tcMar>
          </w:tcPr>
          <w:p>
            <w:r>
              <w:rPr>
                <w:rFonts w:ascii="Arial" w:cs="Arial" w:eastAsia="Arial" w:hAnsi="Arial"/>
                <w:b/>
                <w:bCs/>
                <w:color w:val="0078D4"/>
                <w:sz w:val="20"/>
                <w:szCs w:val="20"/>
              </w:rPr>
              <w:t xml:space="preserve">Q: </w:t>
            </w:r>
            <w:r>
              <w:rPr>
                <w:rFonts w:ascii="Arial" w:cs="Arial" w:eastAsia="Arial" w:hAnsi="Arial"/>
                <w:b/>
                <w:bCs/>
                <w:color w:val="1A1A1A"/>
                <w:sz w:val="20"/>
                <w:szCs w:val="20"/>
              </w:rPr>
              <w:t xml:space="preserve">What is a Private DNS Zone and when would you use it?</w:t>
            </w:r>
          </w:p>
        </w:tc>
      </w:tr>
      <w:tr>
        <w:tc>
          <w:tcPr>
            <w:tcW w:type="dxa" w:w="9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88A"/>
                <w:sz w:val="20"/>
                <w:szCs w:val="20"/>
              </w:rPr>
              <w:t xml:space="preserve">A: </w:t>
            </w:r>
            <w:r>
              <w:rPr>
                <w:rFonts w:ascii="Arial" w:cs="Arial" w:eastAsia="Arial" w:hAnsi="Arial"/>
                <w:color w:val="1A1A1A"/>
                <w:sz w:val="20"/>
                <w:szCs w:val="20"/>
              </w:rPr>
              <w:t xml:space="preserve">Azure Private DNS Zone provides name resolution within a VNet without exposing DNS records to the internet. Use it for Private Endpoint resolution (e.g., *.privatelink.azurewebsites.net), AKS internal services, or microservice-to-microservice communication. Link the private zone to your VNet via a Virtual Network Link.</w:t>
            </w:r>
          </w:p>
        </w:tc>
      </w:tr>
      <w:tr>
        <w:tc>
          <w:tcPr>
            <w:tcW w:type="dxa" w:w="9200"/>
            <w:tcBorders>
              <w:top w:val="single" w:color="0078D4" w:sz="1"/>
              <w:left w:val="single" w:color="0078D4" w:sz="1"/>
              <w:bottom w:val="single" w:color="0078D4" w:sz="1"/>
              <w:right w:val="single" w:color="0078D4" w:sz="1"/>
            </w:tcBorders>
            <w:shd w:fill="D0E8FA" w:val="clear"/>
            <w:tcMar>
              <w:top w:type="dxa" w:w="80"/>
              <w:left w:type="dxa" w:w="160"/>
              <w:bottom w:type="dxa" w:w="80"/>
              <w:right w:type="dxa" w:w="160"/>
            </w:tcMar>
          </w:tcPr>
          <w:p>
            <w:r>
              <w:rPr>
                <w:rFonts w:ascii="Arial" w:cs="Arial" w:eastAsia="Arial" w:hAnsi="Arial"/>
                <w:b/>
                <w:bCs/>
                <w:color w:val="0078D4"/>
                <w:sz w:val="20"/>
                <w:szCs w:val="20"/>
              </w:rPr>
              <w:t xml:space="preserve">Q: </w:t>
            </w:r>
            <w:r>
              <w:rPr>
                <w:rFonts w:ascii="Arial" w:cs="Arial" w:eastAsia="Arial" w:hAnsi="Arial"/>
                <w:b/>
                <w:bCs/>
                <w:color w:val="1A1A1A"/>
                <w:sz w:val="20"/>
                <w:szCs w:val="20"/>
              </w:rPr>
              <w:t xml:space="preserve">How do you verify domain ownership for Azure Front Door?</w:t>
            </w:r>
          </w:p>
        </w:tc>
      </w:tr>
      <w:tr>
        <w:tc>
          <w:tcPr>
            <w:tcW w:type="dxa" w:w="9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88A"/>
                <w:sz w:val="20"/>
                <w:szCs w:val="20"/>
              </w:rPr>
              <w:t xml:space="preserve">A: </w:t>
            </w:r>
            <w:r>
              <w:rPr>
                <w:rFonts w:ascii="Arial" w:cs="Arial" w:eastAsia="Arial" w:hAnsi="Arial"/>
                <w:color w:val="1A1A1A"/>
                <w:sz w:val="20"/>
                <w:szCs w:val="20"/>
              </w:rPr>
              <w:t xml:space="preserve">Azure Front Door generates a TXT validation token for each custom domain (e.g., _dnsauth.app.yourdomain.com). You add this TXT record to your Azure DNS zone. Front Door queries the DNS record; once verified, it provisions the managed TLS certificate. In Terraform, capture the token from azurerm_cdn_frontdoor_custom_domain and create an azurerm_dns_txt_record.</w:t>
            </w:r>
          </w:p>
        </w:tc>
      </w:tr>
    </w:tbl>
    <w:p>
      <w:pPr>
        <w:spacing w:after="0" w:before="200"/>
      </w:pPr>
      <w:r>
        <w:t xml:space="preserve"/>
      </w:r>
    </w:p>
    <w:p>
      <w:pPr>
        <w:pStyle w:val="Heading1"/>
        <w:pBdr>
          <w:bottom w:val="single" w:color="0078D4" w:sz="8" w:space="4"/>
        </w:pBdr>
        <w:spacing w:after="160" w:before="400"/>
      </w:pPr>
      <w:r>
        <w:rPr>
          <w:rFonts w:ascii="Arial" w:cs="Arial" w:eastAsia="Arial" w:hAnsi="Arial"/>
          <w:b/>
          <w:bCs/>
          <w:color w:val="0078D4"/>
          <w:sz w:val="36"/>
          <w:szCs w:val="36"/>
        </w:rPr>
        <w:t xml:space="preserve">3. Azure Front Door</w:t>
      </w:r>
    </w:p>
    <w:p>
      <w:pPr>
        <w:pStyle w:val="Heading2"/>
        <w:pBdr>
          <w:bottom w:val="single" w:color="D0EFF3" w:sz="4" w:space="2"/>
        </w:pBdr>
        <w:spacing w:after="120" w:before="300"/>
      </w:pPr>
      <w:r>
        <w:rPr>
          <w:rFonts w:ascii="Arial" w:cs="Arial" w:eastAsia="Arial" w:hAnsi="Arial"/>
          <w:b/>
          <w:bCs/>
          <w:color w:val="00788A"/>
          <w:sz w:val="28"/>
          <w:szCs w:val="28"/>
        </w:rPr>
        <w:t xml:space="preserve">What is it?</w:t>
      </w:r>
    </w:p>
    <w:p>
      <w:pPr>
        <w:spacing w:after="60" w:before="60"/>
      </w:pPr>
      <w:r>
        <w:rPr>
          <w:rFonts w:ascii="Arial" w:cs="Arial" w:eastAsia="Arial" w:hAnsi="Arial"/>
          <w:color w:val="1A1A1A"/>
          <w:sz w:val="20"/>
          <w:szCs w:val="20"/>
        </w:rPr>
        <w:t xml:space="preserve">Azure Front Door (Standard/Premium) is Microsoft's global CDN and load balancing service operating at the edge of Microsoft's global network. It provides fast and reliable global HTTP(S) application delivery with features like dynamic site acceleration, global load balancing, SSL offload, WAF, and caching. Front Door Standard/Premium is the current generation (v2) — prefer it over the legacy Front Door Classic.</w:t>
      </w:r>
    </w:p>
    <w:p>
      <w:pPr>
        <w:spacing w:after="0" w:before="80"/>
      </w:pPr>
      <w:r>
        <w:t xml:space="preserve"/>
      </w:r>
    </w:p>
    <w:p>
      <w:pPr>
        <w:pStyle w:val="Heading2"/>
        <w:pBdr>
          <w:bottom w:val="single" w:color="D0EFF3" w:sz="4" w:space="2"/>
        </w:pBdr>
        <w:spacing w:after="120" w:before="300"/>
      </w:pPr>
      <w:r>
        <w:rPr>
          <w:rFonts w:ascii="Arial" w:cs="Arial" w:eastAsia="Arial" w:hAnsi="Arial"/>
          <w:b/>
          <w:bCs/>
          <w:color w:val="00788A"/>
          <w:sz w:val="28"/>
          <w:szCs w:val="28"/>
        </w:rPr>
        <w:t xml:space="preserve">Key Features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078D4" w:val="clear"/>
            <w:tcMar>
              <w:top w:type="dxa" w:w="80"/>
              <w:left w:type="dxa" w:w="160"/>
              <w:bottom w:type="dxa" w:w="80"/>
              <w:right w:type="dxa" w:w="160"/>
            </w:tcMar>
          </w:tcPr>
          <w:p>
            <w:r>
              <w:rPr>
                <w:rFonts w:ascii="Arial" w:cs="Arial" w:eastAsia="Arial" w:hAnsi="Arial"/>
                <w:b/>
                <w:bCs/>
                <w:color w:val="FFFFFF"/>
                <w:sz w:val="22"/>
                <w:szCs w:val="22"/>
              </w:rPr>
              <w:t xml:space="preserve">Front Door Capabilities</w:t>
            </w:r>
          </w:p>
        </w:tc>
      </w:tr>
      <w:tr>
        <w:tc>
          <w:tcPr>
            <w:tcW w:type="dxa" w:w="9200"/>
            <w:tcBorders>
              <w:top w:val="none"/>
              <w:left w:val="none"/>
              <w:bottom w:val="none"/>
              <w:right w:val="none"/>
            </w:tcBorders>
            <w:shd w:fill="D0E8FA" w:val="clear"/>
            <w:tcMar>
              <w:top w:type="dxa" w:w="40"/>
              <w:left w:type="dxa" w:w="200"/>
              <w:bottom w:type="dxa" w:w="40"/>
              <w:right w:type="dxa" w:w="160"/>
            </w:tcMar>
          </w:tcPr>
          <w:p>
            <w:pPr>
              <w:pStyle w:val="ListParagraph"/>
              <w:numPr>
                <w:ilvl w:val="0"/>
                <w:numId w:val="3"/>
              </w:numPr>
            </w:pPr>
            <w:r>
              <w:rPr>
                <w:rFonts w:ascii="Arial" w:cs="Arial" w:eastAsia="Arial" w:hAnsi="Arial"/>
                <w:color w:val="1A1A1A"/>
                <w:sz w:val="20"/>
                <w:szCs w:val="20"/>
              </w:rPr>
              <w:t xml:space="preserve">Global anycast routing — directs users to the nearest PoP (Point of Presence)</w:t>
            </w:r>
          </w:p>
        </w:tc>
      </w:tr>
      <w:tr>
        <w:tc>
          <w:tcPr>
            <w:tcW w:type="dxa" w:w="9200"/>
            <w:tcBorders>
              <w:top w:val="none"/>
              <w:left w:val="none"/>
              <w:bottom w:val="none"/>
              <w:right w:val="none"/>
            </w:tcBorders>
            <w:shd w:fill="D0E8FA" w:val="clear"/>
            <w:tcMar>
              <w:top w:type="dxa" w:w="40"/>
              <w:left w:type="dxa" w:w="200"/>
              <w:bottom w:type="dxa" w:w="40"/>
              <w:right w:type="dxa" w:w="160"/>
            </w:tcMar>
          </w:tcPr>
          <w:p>
            <w:pPr>
              <w:pStyle w:val="ListParagraph"/>
              <w:numPr>
                <w:ilvl w:val="0"/>
                <w:numId w:val="3"/>
              </w:numPr>
            </w:pPr>
            <w:r>
              <w:rPr>
                <w:rFonts w:ascii="Arial" w:cs="Arial" w:eastAsia="Arial" w:hAnsi="Arial"/>
                <w:color w:val="1A1A1A"/>
                <w:sz w:val="20"/>
                <w:szCs w:val="20"/>
              </w:rPr>
              <w:t xml:space="preserve">Managed TLS certificates — auto-provisioned and renewed for custom domains</w:t>
            </w:r>
          </w:p>
        </w:tc>
      </w:tr>
      <w:tr>
        <w:tc>
          <w:tcPr>
            <w:tcW w:type="dxa" w:w="9200"/>
            <w:tcBorders>
              <w:top w:val="none"/>
              <w:left w:val="none"/>
              <w:bottom w:val="none"/>
              <w:right w:val="none"/>
            </w:tcBorders>
            <w:shd w:fill="D0E8FA" w:val="clear"/>
            <w:tcMar>
              <w:top w:type="dxa" w:w="40"/>
              <w:left w:type="dxa" w:w="200"/>
              <w:bottom w:type="dxa" w:w="40"/>
              <w:right w:type="dxa" w:w="160"/>
            </w:tcMar>
          </w:tcPr>
          <w:p>
            <w:pPr>
              <w:pStyle w:val="ListParagraph"/>
              <w:numPr>
                <w:ilvl w:val="0"/>
                <w:numId w:val="3"/>
              </w:numPr>
            </w:pPr>
            <w:r>
              <w:rPr>
                <w:rFonts w:ascii="Arial" w:cs="Arial" w:eastAsia="Arial" w:hAnsi="Arial"/>
                <w:color w:val="1A1A1A"/>
                <w:sz w:val="20"/>
                <w:szCs w:val="20"/>
              </w:rPr>
              <w:t xml:space="preserve">WAF (Web Application Firewall) — OWASP rulesets, custom rules, rate limiting</w:t>
            </w:r>
          </w:p>
        </w:tc>
      </w:tr>
      <w:tr>
        <w:tc>
          <w:tcPr>
            <w:tcW w:type="dxa" w:w="9200"/>
            <w:tcBorders>
              <w:top w:val="none"/>
              <w:left w:val="none"/>
              <w:bottom w:val="none"/>
              <w:right w:val="none"/>
            </w:tcBorders>
            <w:shd w:fill="D0E8FA" w:val="clear"/>
            <w:tcMar>
              <w:top w:type="dxa" w:w="40"/>
              <w:left w:type="dxa" w:w="200"/>
              <w:bottom w:type="dxa" w:w="40"/>
              <w:right w:type="dxa" w:w="160"/>
            </w:tcMar>
          </w:tcPr>
          <w:p>
            <w:pPr>
              <w:pStyle w:val="ListParagraph"/>
              <w:numPr>
                <w:ilvl w:val="0"/>
                <w:numId w:val="3"/>
              </w:numPr>
            </w:pPr>
            <w:r>
              <w:rPr>
                <w:rFonts w:ascii="Arial" w:cs="Arial" w:eastAsia="Arial" w:hAnsi="Arial"/>
                <w:color w:val="1A1A1A"/>
                <w:sz w:val="20"/>
                <w:szCs w:val="20"/>
              </w:rPr>
              <w:t xml:space="preserve">URL-based routing — route /api/* to backend A, /* to backend B</w:t>
            </w:r>
          </w:p>
        </w:tc>
      </w:tr>
      <w:tr>
        <w:tc>
          <w:tcPr>
            <w:tcW w:type="dxa" w:w="9200"/>
            <w:tcBorders>
              <w:top w:val="none"/>
              <w:left w:val="none"/>
              <w:bottom w:val="none"/>
              <w:right w:val="none"/>
            </w:tcBorders>
            <w:shd w:fill="D0E8FA" w:val="clear"/>
            <w:tcMar>
              <w:top w:type="dxa" w:w="40"/>
              <w:left w:type="dxa" w:w="200"/>
              <w:bottom w:type="dxa" w:w="40"/>
              <w:right w:type="dxa" w:w="160"/>
            </w:tcMar>
          </w:tcPr>
          <w:p>
            <w:pPr>
              <w:pStyle w:val="ListParagraph"/>
              <w:numPr>
                <w:ilvl w:val="0"/>
                <w:numId w:val="3"/>
              </w:numPr>
            </w:pPr>
            <w:r>
              <w:rPr>
                <w:rFonts w:ascii="Arial" w:cs="Arial" w:eastAsia="Arial" w:hAnsi="Arial"/>
                <w:color w:val="1A1A1A"/>
                <w:sz w:val="20"/>
                <w:szCs w:val="20"/>
              </w:rPr>
              <w:t xml:space="preserve">Health probes — automatically removes unhealthy origins</w:t>
            </w:r>
          </w:p>
        </w:tc>
      </w:tr>
      <w:tr>
        <w:tc>
          <w:tcPr>
            <w:tcW w:type="dxa" w:w="9200"/>
            <w:tcBorders>
              <w:top w:val="none"/>
              <w:left w:val="none"/>
              <w:bottom w:val="none"/>
              <w:right w:val="none"/>
            </w:tcBorders>
            <w:shd w:fill="D0E8FA" w:val="clear"/>
            <w:tcMar>
              <w:top w:type="dxa" w:w="40"/>
              <w:left w:type="dxa" w:w="200"/>
              <w:bottom w:type="dxa" w:w="40"/>
              <w:right w:type="dxa" w:w="160"/>
            </w:tcMar>
          </w:tcPr>
          <w:p>
            <w:pPr>
              <w:pStyle w:val="ListParagraph"/>
              <w:numPr>
                <w:ilvl w:val="0"/>
                <w:numId w:val="3"/>
              </w:numPr>
            </w:pPr>
            <w:r>
              <w:rPr>
                <w:rFonts w:ascii="Arial" w:cs="Arial" w:eastAsia="Arial" w:hAnsi="Arial"/>
                <w:color w:val="1A1A1A"/>
                <w:sz w:val="20"/>
                <w:szCs w:val="20"/>
              </w:rPr>
              <w:t xml:space="preserve">Caching — cache static content at edge PoPs</w:t>
            </w:r>
          </w:p>
        </w:tc>
      </w:tr>
      <w:tr>
        <w:tc>
          <w:tcPr>
            <w:tcW w:type="dxa" w:w="9200"/>
            <w:tcBorders>
              <w:top w:val="none"/>
              <w:left w:val="none"/>
              <w:bottom w:val="none"/>
              <w:right w:val="none"/>
            </w:tcBorders>
            <w:shd w:fill="D0E8FA" w:val="clear"/>
            <w:tcMar>
              <w:top w:type="dxa" w:w="40"/>
              <w:left w:type="dxa" w:w="200"/>
              <w:bottom w:type="dxa" w:w="40"/>
              <w:right w:type="dxa" w:w="160"/>
            </w:tcMar>
          </w:tcPr>
          <w:p>
            <w:pPr>
              <w:pStyle w:val="ListParagraph"/>
              <w:numPr>
                <w:ilvl w:val="0"/>
                <w:numId w:val="3"/>
              </w:numPr>
            </w:pPr>
            <w:r>
              <w:rPr>
                <w:rFonts w:ascii="Arial" w:cs="Arial" w:eastAsia="Arial" w:hAnsi="Arial"/>
                <w:color w:val="1A1A1A"/>
                <w:sz w:val="20"/>
                <w:szCs w:val="20"/>
              </w:rPr>
              <w:t xml:space="preserve">Split-testing / A-B routing — weighted traffic distribution</w:t>
            </w:r>
          </w:p>
        </w:tc>
      </w:tr>
      <w:tr>
        <w:tc>
          <w:tcPr>
            <w:tcW w:type="dxa" w:w="9200"/>
            <w:tcBorders>
              <w:top w:val="none"/>
              <w:left w:val="none"/>
              <w:bottom w:val="none"/>
              <w:right w:val="none"/>
            </w:tcBorders>
            <w:shd w:fill="D0E8FA" w:val="clear"/>
            <w:tcMar>
              <w:top w:type="dxa" w:w="40"/>
              <w:left w:type="dxa" w:w="200"/>
              <w:bottom w:type="dxa" w:w="40"/>
              <w:right w:type="dxa" w:w="160"/>
            </w:tcMar>
          </w:tcPr>
          <w:p>
            <w:pPr>
              <w:pStyle w:val="ListParagraph"/>
              <w:numPr>
                <w:ilvl w:val="0"/>
                <w:numId w:val="3"/>
              </w:numPr>
            </w:pPr>
            <w:r>
              <w:rPr>
                <w:rFonts w:ascii="Arial" w:cs="Arial" w:eastAsia="Arial" w:hAnsi="Arial"/>
                <w:color w:val="1A1A1A"/>
                <w:sz w:val="20"/>
                <w:szCs w:val="20"/>
              </w:rPr>
              <w:t xml:space="preserve">Private Link — connect to backends securely without public IP</w:t>
            </w:r>
          </w:p>
        </w:tc>
      </w:tr>
    </w:tbl>
    <w:p>
      <w:pPr>
        <w:spacing w:after="0" w:before="100"/>
      </w:pPr>
      <w:r>
        <w:t xml:space="preserve"/>
      </w:r>
    </w:p>
    <w:p>
      <w:pPr>
        <w:pStyle w:val="Heading2"/>
        <w:pBdr>
          <w:bottom w:val="single" w:color="D0EFF3" w:sz="4" w:space="2"/>
        </w:pBdr>
        <w:spacing w:after="120" w:before="300"/>
      </w:pPr>
      <w:r>
        <w:rPr>
          <w:rFonts w:ascii="Arial" w:cs="Arial" w:eastAsia="Arial" w:hAnsi="Arial"/>
          <w:b/>
          <w:bCs/>
          <w:color w:val="00788A"/>
          <w:sz w:val="28"/>
          <w:szCs w:val="28"/>
        </w:rPr>
        <w:t xml:space="preserve">Step-by-Step: Create Front Door with Custom Domain</w:t>
      </w:r>
    </w:p>
    <w:p>
      <w:pPr>
        <w:pStyle w:val="ListParagraph"/>
        <w:numPr>
          <w:ilvl w:val="0"/>
          <w:numId w:val="2"/>
        </w:numPr>
        <w:spacing w:after="40" w:before="40"/>
      </w:pPr>
      <w:r>
        <w:rPr>
          <w:rFonts w:ascii="Arial" w:cs="Arial" w:eastAsia="Arial" w:hAnsi="Arial"/>
          <w:color w:val="1A1A1A"/>
          <w:sz w:val="20"/>
          <w:szCs w:val="20"/>
        </w:rPr>
        <w:t xml:space="preserve">Create Front Door Profile (Standard or Premium tier)</w:t>
      </w:r>
    </w:p>
    <w:p>
      <w:pPr>
        <w:pStyle w:val="ListParagraph"/>
        <w:numPr>
          <w:ilvl w:val="0"/>
          <w:numId w:val="2"/>
        </w:numPr>
        <w:spacing w:after="40" w:before="40"/>
      </w:pPr>
      <w:r>
        <w:rPr>
          <w:rFonts w:ascii="Arial" w:cs="Arial" w:eastAsia="Arial" w:hAnsi="Arial"/>
          <w:color w:val="1A1A1A"/>
          <w:sz w:val="20"/>
          <w:szCs w:val="20"/>
        </w:rPr>
        <w:t xml:space="preserve">Add an Origin Group with your App Gateway as the origin (FQDN or private link)</w:t>
      </w:r>
    </w:p>
    <w:p>
      <w:pPr>
        <w:pStyle w:val="ListParagraph"/>
        <w:numPr>
          <w:ilvl w:val="0"/>
          <w:numId w:val="2"/>
        </w:numPr>
        <w:spacing w:after="40" w:before="40"/>
      </w:pPr>
      <w:r>
        <w:rPr>
          <w:rFonts w:ascii="Arial" w:cs="Arial" w:eastAsia="Arial" w:hAnsi="Arial"/>
          <w:color w:val="1A1A1A"/>
          <w:sz w:val="20"/>
          <w:szCs w:val="20"/>
        </w:rPr>
        <w:t xml:space="preserve">Create a Route: domain → origin group, with caching/forwarding rules</w:t>
      </w:r>
    </w:p>
    <w:p>
      <w:pPr>
        <w:pStyle w:val="ListParagraph"/>
        <w:numPr>
          <w:ilvl w:val="0"/>
          <w:numId w:val="2"/>
        </w:numPr>
        <w:spacing w:after="40" w:before="40"/>
      </w:pPr>
      <w:r>
        <w:rPr>
          <w:rFonts w:ascii="Arial" w:cs="Arial" w:eastAsia="Arial" w:hAnsi="Arial"/>
          <w:color w:val="1A1A1A"/>
          <w:sz w:val="20"/>
          <w:szCs w:val="20"/>
        </w:rPr>
        <w:t xml:space="preserve">Add Custom Domain: provide your CNAME (app.yourdomain.com)</w:t>
      </w:r>
    </w:p>
    <w:p>
      <w:pPr>
        <w:pStyle w:val="ListParagraph"/>
        <w:numPr>
          <w:ilvl w:val="0"/>
          <w:numId w:val="2"/>
        </w:numPr>
        <w:spacing w:after="40" w:before="40"/>
      </w:pPr>
      <w:r>
        <w:rPr>
          <w:rFonts w:ascii="Arial" w:cs="Arial" w:eastAsia="Arial" w:hAnsi="Arial"/>
          <w:color w:val="1A1A1A"/>
          <w:sz w:val="20"/>
          <w:szCs w:val="20"/>
        </w:rPr>
        <w:t xml:space="preserve">Verify domain ownership via TXT record in Azure DNS</w:t>
      </w:r>
    </w:p>
    <w:p>
      <w:pPr>
        <w:pStyle w:val="ListParagraph"/>
        <w:numPr>
          <w:ilvl w:val="0"/>
          <w:numId w:val="2"/>
        </w:numPr>
        <w:spacing w:after="40" w:before="40"/>
      </w:pPr>
      <w:r>
        <w:rPr>
          <w:rFonts w:ascii="Arial" w:cs="Arial" w:eastAsia="Arial" w:hAnsi="Arial"/>
          <w:color w:val="1A1A1A"/>
          <w:sz w:val="20"/>
          <w:szCs w:val="20"/>
        </w:rPr>
        <w:t xml:space="preserve">Associate custom domain with the route</w:t>
      </w:r>
    </w:p>
    <w:p>
      <w:pPr>
        <w:pStyle w:val="ListParagraph"/>
        <w:numPr>
          <w:ilvl w:val="0"/>
          <w:numId w:val="2"/>
        </w:numPr>
        <w:spacing w:after="40" w:before="40"/>
      </w:pPr>
      <w:r>
        <w:rPr>
          <w:rFonts w:ascii="Arial" w:cs="Arial" w:eastAsia="Arial" w:hAnsi="Arial"/>
          <w:color w:val="1A1A1A"/>
          <w:sz w:val="20"/>
          <w:szCs w:val="20"/>
        </w:rPr>
        <w:t xml:space="preserve">Enable managed TLS certificate (auto-provisioned after verification)</w:t>
      </w:r>
    </w:p>
    <w:p>
      <w:pPr>
        <w:pStyle w:val="ListParagraph"/>
        <w:numPr>
          <w:ilvl w:val="0"/>
          <w:numId w:val="2"/>
        </w:numPr>
        <w:spacing w:after="40" w:before="40"/>
      </w:pPr>
      <w:r>
        <w:rPr>
          <w:rFonts w:ascii="Arial" w:cs="Arial" w:eastAsia="Arial" w:hAnsi="Arial"/>
          <w:color w:val="1A1A1A"/>
          <w:sz w:val="20"/>
          <w:szCs w:val="20"/>
        </w:rPr>
        <w:t xml:space="preserve">Configure WAF Policy and associate with the security policy</w:t>
      </w:r>
    </w:p>
    <w:p>
      <w:pPr>
        <w:spacing w:after="0" w:before="100"/>
      </w:pPr>
      <w:r>
        <w:t xml:space="preserve"/>
      </w:r>
    </w:p>
    <w:p>
      <w:pPr>
        <w:pStyle w:val="Heading2"/>
        <w:pBdr>
          <w:bottom w:val="single" w:color="D0EFF3" w:sz="4" w:space="2"/>
        </w:pBdr>
        <w:spacing w:after="120" w:before="300"/>
      </w:pPr>
      <w:r>
        <w:rPr>
          <w:rFonts w:ascii="Arial" w:cs="Arial" w:eastAsia="Arial" w:hAnsi="Arial"/>
          <w:b/>
          <w:bCs/>
          <w:color w:val="00788A"/>
          <w:sz w:val="28"/>
          <w:szCs w:val="28"/>
        </w:rPr>
        <w:t xml:space="preserve">Terraform Code</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00"/>
      </w:tblGrid>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frontdoor.tf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resource "azurerm_cdn_frontdoor_profile" "main"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 "fd-myapp-prod"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resource_group_name = azurerm_resource_group.main.name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sku_name            = "Standard_AzureFrontDoor"</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Use Premium_AzureFrontDoor for WAF + Private Link</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Endpoint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resource "azurerm_cdn_frontdoor_endpoint" "main"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 "endpoint-myapp"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cdn_frontdoor_profile_id = azurerm_cdn_frontdoor_profile.main.id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Origin Group (health probe + LB settings)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resource "azurerm_cdn_frontdoor_origin_group" "main"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 "og-appgateway"</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cdn_frontdoor_profile_id = azurerm_cdn_frontdoor_profile.main.id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session_affinity_enabled = false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load_balancing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sample_size                 = 4</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successful_samples_required = 3</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additional_latency_in_milliseconds = 50</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health_probe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path                = "/health"</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protocol            = "Https"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interval_in_seconds = 30</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request_type        = "HEAD"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Origin (pointing to App Gateway)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resource "azurerm_cdn_frontdoor_origin" "appgw"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 "origin-appgw"</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cdn_frontdoor_origin_group_id = azurerm_cdn_frontdoor_origin_group.main.id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enabled                       = true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certificate_name_check_enabled = true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host_name                      = azurerm_public_ip.appgw.fqdn</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http_port                      = 80</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https_port                     = 443</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origin_host_header             = "app.myapp.com"</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priority                       = 1</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weight                         = 1000</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Custom Domain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resource "azurerm_cdn_frontdoor_custom_domain" "app"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 "custom-domain-app"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cdn_frontdoor_profile_id = azurerm_cdn_frontdoor_profile.main.id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dns_zone_id              = azurerm_dns_zone.main.id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host_name                = "app.${var.domain_name}"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tls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certificate_type    = "ManagedCertificate"  # Azure manages cert lifecycle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minimum_tls_version = "TLS12"</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Route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resource "azurerm_cdn_frontdoor_route" "main"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 "route-main"</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cdn_frontdoor_endpoint_id     = azurerm_cdn_frontdoor_endpoint.main.id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cdn_frontdoor_origin_group_id = azurerm_cdn_frontdoor_origin_group.main.id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cdn_frontdoor_origin_ids      = [azurerm_cdn_frontdoor_origin.appgw.id]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cdn_frontdoor_custom_domain_ids = [azurerm_cdn_frontdoor_custom_domain.app.id]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supported_protocols    = ["Http", "Https"]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patterns_to_match      =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forwarding_protocol    = "HttpsOnly"</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https_redirect_enabled = true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link_to_default_domain = false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WAF Policy (Premium only)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resource "azurerm_cdn_frontdoor_firewall_policy" "main"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 "wafpolicymyapp"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resource_group_name = azurerm_resource_group.main.name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sku_name            = azurerm_cdn_frontdoor_profile.main.sku_name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mode                = "Prevention"  # Detection = log only</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managed_rule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type    = "DefaultRuleSet"</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version = "1.0"</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action  = "Block"</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TXT record for domain verification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resource "azurerm_dns_txt_record" "fd_verify"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 "_dnsauth.app"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zone_name           = azurerm_dns_zone.main.name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resource_group_name = azurerm_resource_group.main.name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ttl                 = 3600</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record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Get verification token from custom domain resource after initial apply</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value = azurerm_cdn_frontdoor_custom_domain.app.validation_token</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w:t>
            </w:r>
          </w:p>
        </w:tc>
      </w:tr>
    </w:tbl>
    <w:p>
      <w:pPr>
        <w:spacing w:after="0" w:before="100"/>
      </w:pPr>
      <w:r>
        <w:t xml:space="preserve"/>
      </w:r>
    </w:p>
    <w:p>
      <w:pPr>
        <w:pStyle w:val="Heading2"/>
        <w:pBdr>
          <w:bottom w:val="single" w:color="D0EFF3" w:sz="4" w:space="2"/>
        </w:pBdr>
        <w:spacing w:after="120" w:before="300"/>
      </w:pPr>
      <w:r>
        <w:rPr>
          <w:rFonts w:ascii="Arial" w:cs="Arial" w:eastAsia="Arial" w:hAnsi="Arial"/>
          <w:b/>
          <w:bCs/>
          <w:color w:val="00788A"/>
          <w:sz w:val="28"/>
          <w:szCs w:val="28"/>
        </w:rPr>
        <w:t xml:space="preserve">Interview Q &amp; 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8D4" w:sz="1"/>
              <w:left w:val="single" w:color="0078D4" w:sz="1"/>
              <w:bottom w:val="single" w:color="0078D4" w:sz="1"/>
              <w:right w:val="single" w:color="0078D4" w:sz="1"/>
            </w:tcBorders>
            <w:shd w:fill="D0E8FA" w:val="clear"/>
            <w:tcMar>
              <w:top w:type="dxa" w:w="80"/>
              <w:left w:type="dxa" w:w="160"/>
              <w:bottom w:type="dxa" w:w="80"/>
              <w:right w:type="dxa" w:w="160"/>
            </w:tcMar>
          </w:tcPr>
          <w:p>
            <w:r>
              <w:rPr>
                <w:rFonts w:ascii="Arial" w:cs="Arial" w:eastAsia="Arial" w:hAnsi="Arial"/>
                <w:b/>
                <w:bCs/>
                <w:color w:val="0078D4"/>
                <w:sz w:val="20"/>
                <w:szCs w:val="20"/>
              </w:rPr>
              <w:t xml:space="preserve">Q: </w:t>
            </w:r>
            <w:r>
              <w:rPr>
                <w:rFonts w:ascii="Arial" w:cs="Arial" w:eastAsia="Arial" w:hAnsi="Arial"/>
                <w:b/>
                <w:bCs/>
                <w:color w:val="1A1A1A"/>
                <w:sz w:val="20"/>
                <w:szCs w:val="20"/>
              </w:rPr>
              <w:t xml:space="preserve">Front Door vs Application Gateway — when do you use each?</w:t>
            </w:r>
          </w:p>
        </w:tc>
      </w:tr>
      <w:tr>
        <w:tc>
          <w:tcPr>
            <w:tcW w:type="dxa" w:w="9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88A"/>
                <w:sz w:val="20"/>
                <w:szCs w:val="20"/>
              </w:rPr>
              <w:t xml:space="preserve">A: </w:t>
            </w:r>
            <w:r>
              <w:rPr>
                <w:rFonts w:ascii="Arial" w:cs="Arial" w:eastAsia="Arial" w:hAnsi="Arial"/>
                <w:color w:val="1A1A1A"/>
                <w:sz w:val="20"/>
                <w:szCs w:val="20"/>
              </w:rPr>
              <w:t xml:space="preserve">Use Front Door when you need global distribution, multi-region failover, CDN caching, or WAF at the edge across all PoPs worldwide. Use Application Gateway for regional L7 load balancing within a VNet, AKS ingress via AGIC, or mutual TLS. In a production setup, you typically stack them: Front Door at the global edge, App Gateway per-region as the origin.</w:t>
            </w:r>
          </w:p>
        </w:tc>
      </w:tr>
      <w:tr>
        <w:tc>
          <w:tcPr>
            <w:tcW w:type="dxa" w:w="9200"/>
            <w:tcBorders>
              <w:top w:val="single" w:color="0078D4" w:sz="1"/>
              <w:left w:val="single" w:color="0078D4" w:sz="1"/>
              <w:bottom w:val="single" w:color="0078D4" w:sz="1"/>
              <w:right w:val="single" w:color="0078D4" w:sz="1"/>
            </w:tcBorders>
            <w:shd w:fill="D0E8FA" w:val="clear"/>
            <w:tcMar>
              <w:top w:type="dxa" w:w="80"/>
              <w:left w:type="dxa" w:w="160"/>
              <w:bottom w:type="dxa" w:w="80"/>
              <w:right w:type="dxa" w:w="160"/>
            </w:tcMar>
          </w:tcPr>
          <w:p>
            <w:r>
              <w:rPr>
                <w:rFonts w:ascii="Arial" w:cs="Arial" w:eastAsia="Arial" w:hAnsi="Arial"/>
                <w:b/>
                <w:bCs/>
                <w:color w:val="0078D4"/>
                <w:sz w:val="20"/>
                <w:szCs w:val="20"/>
              </w:rPr>
              <w:t xml:space="preserve">Q: </w:t>
            </w:r>
            <w:r>
              <w:rPr>
                <w:rFonts w:ascii="Arial" w:cs="Arial" w:eastAsia="Arial" w:hAnsi="Arial"/>
                <w:b/>
                <w:bCs/>
                <w:color w:val="1A1A1A"/>
                <w:sz w:val="20"/>
                <w:szCs w:val="20"/>
              </w:rPr>
              <w:t xml:space="preserve">Explain the difference between Front Door Standard and Premium SKUs.</w:t>
            </w:r>
          </w:p>
        </w:tc>
      </w:tr>
      <w:tr>
        <w:tc>
          <w:tcPr>
            <w:tcW w:type="dxa" w:w="9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88A"/>
                <w:sz w:val="20"/>
                <w:szCs w:val="20"/>
              </w:rPr>
              <w:t xml:space="preserve">A: </w:t>
            </w:r>
            <w:r>
              <w:rPr>
                <w:rFonts w:ascii="Arial" w:cs="Arial" w:eastAsia="Arial" w:hAnsi="Arial"/>
                <w:color w:val="1A1A1A"/>
                <w:sz w:val="20"/>
                <w:szCs w:val="20"/>
              </w:rPr>
              <w:t xml:space="preserve">Standard supports CDN, custom rules, managed certs, and URL routing. Premium adds WAF with managed rulesets, Private Link integration to origins (no public IP needed on backend), bot protection, and Microsoft Threat Intelligence rules. For AKS workloads with security requirements, Premium is recommended.</w:t>
            </w:r>
          </w:p>
        </w:tc>
      </w:tr>
      <w:tr>
        <w:tc>
          <w:tcPr>
            <w:tcW w:type="dxa" w:w="9200"/>
            <w:tcBorders>
              <w:top w:val="single" w:color="0078D4" w:sz="1"/>
              <w:left w:val="single" w:color="0078D4" w:sz="1"/>
              <w:bottom w:val="single" w:color="0078D4" w:sz="1"/>
              <w:right w:val="single" w:color="0078D4" w:sz="1"/>
            </w:tcBorders>
            <w:shd w:fill="D0E8FA" w:val="clear"/>
            <w:tcMar>
              <w:top w:type="dxa" w:w="80"/>
              <w:left w:type="dxa" w:w="160"/>
              <w:bottom w:type="dxa" w:w="80"/>
              <w:right w:type="dxa" w:w="160"/>
            </w:tcMar>
          </w:tcPr>
          <w:p>
            <w:r>
              <w:rPr>
                <w:rFonts w:ascii="Arial" w:cs="Arial" w:eastAsia="Arial" w:hAnsi="Arial"/>
                <w:b/>
                <w:bCs/>
                <w:color w:val="0078D4"/>
                <w:sz w:val="20"/>
                <w:szCs w:val="20"/>
              </w:rPr>
              <w:t xml:space="preserve">Q: </w:t>
            </w:r>
            <w:r>
              <w:rPr>
                <w:rFonts w:ascii="Arial" w:cs="Arial" w:eastAsia="Arial" w:hAnsi="Arial"/>
                <w:b/>
                <w:bCs/>
                <w:color w:val="1A1A1A"/>
                <w:sz w:val="20"/>
                <w:szCs w:val="20"/>
              </w:rPr>
              <w:t xml:space="preserve">How does Azure Front Door handle SSL/TLS certificate management?</w:t>
            </w:r>
          </w:p>
        </w:tc>
      </w:tr>
      <w:tr>
        <w:tc>
          <w:tcPr>
            <w:tcW w:type="dxa" w:w="9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88A"/>
                <w:sz w:val="20"/>
                <w:szCs w:val="20"/>
              </w:rPr>
              <w:t xml:space="preserve">A: </w:t>
            </w:r>
            <w:r>
              <w:rPr>
                <w:rFonts w:ascii="Arial" w:cs="Arial" w:eastAsia="Arial" w:hAnsi="Arial"/>
                <w:color w:val="1A1A1A"/>
                <w:sz w:val="20"/>
                <w:szCs w:val="20"/>
              </w:rPr>
              <w:t xml:space="preserve">Front Door offers two options: ManagedCertificate (Azure provisions and auto-renews a free TLS cert from DigiCert/GlobalSign after domain verification via TXT record) and CustomerCertificate (you bring your own cert stored in Azure Key Vault). Managed is preferred for most use cases to avoid operational overhead.</w:t>
            </w:r>
          </w:p>
        </w:tc>
      </w:tr>
      <w:tr>
        <w:tc>
          <w:tcPr>
            <w:tcW w:type="dxa" w:w="9200"/>
            <w:tcBorders>
              <w:top w:val="single" w:color="0078D4" w:sz="1"/>
              <w:left w:val="single" w:color="0078D4" w:sz="1"/>
              <w:bottom w:val="single" w:color="0078D4" w:sz="1"/>
              <w:right w:val="single" w:color="0078D4" w:sz="1"/>
            </w:tcBorders>
            <w:shd w:fill="D0E8FA" w:val="clear"/>
            <w:tcMar>
              <w:top w:type="dxa" w:w="80"/>
              <w:left w:type="dxa" w:w="160"/>
              <w:bottom w:type="dxa" w:w="80"/>
              <w:right w:type="dxa" w:w="160"/>
            </w:tcMar>
          </w:tcPr>
          <w:p>
            <w:r>
              <w:rPr>
                <w:rFonts w:ascii="Arial" w:cs="Arial" w:eastAsia="Arial" w:hAnsi="Arial"/>
                <w:b/>
                <w:bCs/>
                <w:color w:val="0078D4"/>
                <w:sz w:val="20"/>
                <w:szCs w:val="20"/>
              </w:rPr>
              <w:t xml:space="preserve">Q: </w:t>
            </w:r>
            <w:r>
              <w:rPr>
                <w:rFonts w:ascii="Arial" w:cs="Arial" w:eastAsia="Arial" w:hAnsi="Arial"/>
                <w:b/>
                <w:bCs/>
                <w:color w:val="1A1A1A"/>
                <w:sz w:val="20"/>
                <w:szCs w:val="20"/>
              </w:rPr>
              <w:t xml:space="preserve">How do you implement blue/green deployments using Front Door?</w:t>
            </w:r>
          </w:p>
        </w:tc>
      </w:tr>
      <w:tr>
        <w:tc>
          <w:tcPr>
            <w:tcW w:type="dxa" w:w="9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88A"/>
                <w:sz w:val="20"/>
                <w:szCs w:val="20"/>
              </w:rPr>
              <w:t xml:space="preserve">A: </w:t>
            </w:r>
            <w:r>
              <w:rPr>
                <w:rFonts w:ascii="Arial" w:cs="Arial" w:eastAsia="Arial" w:hAnsi="Arial"/>
                <w:color w:val="1A1A1A"/>
                <w:sz w:val="20"/>
                <w:szCs w:val="20"/>
              </w:rPr>
              <w:t xml:space="preserve">Create two origin groups (blue and green) pointing to different backend versions. Use the weight property in origins to split traffic. For a blue/green cutover: start 100/0, shift to 50/50 for canary testing, then 0/100. Front Door's weighted routing handles this without DNS changes.</w:t>
            </w:r>
          </w:p>
        </w:tc>
      </w:tr>
    </w:tbl>
    <w:p>
      <w:pPr>
        <w:spacing w:after="0" w:before="200"/>
      </w:pPr>
      <w:r>
        <w:t xml:space="preserve"/>
      </w:r>
    </w:p>
    <w:p>
      <w:pPr>
        <w:pStyle w:val="Heading1"/>
        <w:pBdr>
          <w:bottom w:val="single" w:color="0078D4" w:sz="8" w:space="4"/>
        </w:pBdr>
        <w:spacing w:after="160" w:before="400"/>
      </w:pPr>
      <w:r>
        <w:rPr>
          <w:rFonts w:ascii="Arial" w:cs="Arial" w:eastAsia="Arial" w:hAnsi="Arial"/>
          <w:b/>
          <w:bCs/>
          <w:color w:val="0078D4"/>
          <w:sz w:val="36"/>
          <w:szCs w:val="36"/>
        </w:rPr>
        <w:t xml:space="preserve">4. Azure Application Gateway</w:t>
      </w:r>
    </w:p>
    <w:p>
      <w:pPr>
        <w:pStyle w:val="Heading2"/>
        <w:pBdr>
          <w:bottom w:val="single" w:color="D0EFF3" w:sz="4" w:space="2"/>
        </w:pBdr>
        <w:spacing w:after="120" w:before="300"/>
      </w:pPr>
      <w:r>
        <w:rPr>
          <w:rFonts w:ascii="Arial" w:cs="Arial" w:eastAsia="Arial" w:hAnsi="Arial"/>
          <w:b/>
          <w:bCs/>
          <w:color w:val="00788A"/>
          <w:sz w:val="28"/>
          <w:szCs w:val="28"/>
        </w:rPr>
        <w:t xml:space="preserve">What is it?</w:t>
      </w:r>
    </w:p>
    <w:p>
      <w:pPr>
        <w:spacing w:after="60" w:before="60"/>
      </w:pPr>
      <w:r>
        <w:rPr>
          <w:rFonts w:ascii="Arial" w:cs="Arial" w:eastAsia="Arial" w:hAnsi="Arial"/>
          <w:color w:val="1A1A1A"/>
          <w:sz w:val="20"/>
          <w:szCs w:val="20"/>
        </w:rPr>
        <w:t xml:space="preserve">Azure Application Gateway is a regional Layer 7 (HTTP/HTTPS) load balancer and web traffic manager. Unlike Front Door (which is global), App Gateway operates within a specific Azure region and VNet, making it ideal for routing traffic to AKS pods via AGIC. It supports path-based and multi-site routing, SSL termination, cookie-based session affinity, WebSocket, and HTTP/2.</w:t>
      </w:r>
    </w:p>
    <w:p>
      <w:pPr>
        <w:spacing w:after="0" w:before="80"/>
      </w:pPr>
      <w:r>
        <w:t xml:space="preserve"/>
      </w:r>
    </w:p>
    <w:p>
      <w:pPr>
        <w:pStyle w:val="Heading2"/>
        <w:pBdr>
          <w:bottom w:val="single" w:color="D0EFF3" w:sz="4" w:space="2"/>
        </w:pBdr>
        <w:spacing w:after="120" w:before="300"/>
      </w:pPr>
      <w:r>
        <w:rPr>
          <w:rFonts w:ascii="Arial" w:cs="Arial" w:eastAsia="Arial" w:hAnsi="Arial"/>
          <w:b/>
          <w:bCs/>
          <w:color w:val="00788A"/>
          <w:sz w:val="28"/>
          <w:szCs w:val="28"/>
        </w:rPr>
        <w:t xml:space="preserve">Core Components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0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Frontend IP</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Public or private IP on which App Gateway listens</w:t>
            </w:r>
          </w:p>
        </w:tc>
      </w:tr>
      <w:tr>
        <w:tc>
          <w:tcPr>
            <w:tcW w:type="dxa" w:w="3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Listener</w:t>
            </w:r>
          </w:p>
        </w:tc>
        <w:tc>
          <w:tcPr>
            <w:tcW w:type="dxa" w:w="6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Listens on a port/protocol/hostname combination for incoming connections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HTTP Settings</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Backend protocol, port, cookie affinity, connection draining, health probe</w:t>
            </w:r>
          </w:p>
        </w:tc>
      </w:tr>
      <w:tr>
        <w:tc>
          <w:tcPr>
            <w:tcW w:type="dxa" w:w="3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Backend Pool</w:t>
            </w:r>
          </w:p>
        </w:tc>
        <w:tc>
          <w:tcPr>
            <w:tcW w:type="dxa" w:w="6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Group of backends: IPs, FQDNs, App Service, or AKS pod IPs (via AGIC)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Routing Rule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Maps listener → backend pool via request routing rules</w:t>
            </w:r>
          </w:p>
        </w:tc>
      </w:tr>
      <w:tr>
        <w:tc>
          <w:tcPr>
            <w:tcW w:type="dxa" w:w="3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Health Probe</w:t>
            </w:r>
          </w:p>
        </w:tc>
        <w:tc>
          <w:tcPr>
            <w:tcW w:type="dxa" w:w="6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Custom or default HTTP probe to determine backend health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SSL Certificate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Certificate bound to listener for TLS termination</w:t>
            </w:r>
          </w:p>
        </w:tc>
      </w:tr>
      <w:tr>
        <w:tc>
          <w:tcPr>
            <w:tcW w:type="dxa" w:w="3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WAF Policy</w:t>
            </w:r>
          </w:p>
        </w:tc>
        <w:tc>
          <w:tcPr>
            <w:tcW w:type="dxa" w:w="6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OWASP CRS ruleset applied to the gateway (App GW v2 only)</w:t>
            </w:r>
          </w:p>
        </w:tc>
      </w:tr>
    </w:tbl>
    <w:p>
      <w:pPr>
        <w:spacing w:after="0" w:before="80"/>
      </w:pPr>
      <w:r>
        <w:t xml:space="preserve"/>
      </w:r>
    </w:p>
    <w:p>
      <w:pPr>
        <w:pStyle w:val="Heading2"/>
        <w:pBdr>
          <w:bottom w:val="single" w:color="D0EFF3" w:sz="4" w:space="2"/>
        </w:pBdr>
        <w:spacing w:after="120" w:before="300"/>
      </w:pPr>
      <w:r>
        <w:rPr>
          <w:rFonts w:ascii="Arial" w:cs="Arial" w:eastAsia="Arial" w:hAnsi="Arial"/>
          <w:b/>
          <w:bCs/>
          <w:color w:val="00788A"/>
          <w:sz w:val="28"/>
          <w:szCs w:val="28"/>
        </w:rPr>
        <w:t xml:space="preserve">Terraform Code</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00"/>
      </w:tblGrid>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appgateway.tf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Public IP for App Gateway frontend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resource "azurerm_public_ip" "appgw"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 "pip-appgw-myapp"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resource_group_name = azurerm_resource_group.main.name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location            = var.location</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allocation_method   = "Static"</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sku                 = "Standard"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domain_name_label   = "appgw-myapp"  # creates FQDN: appgw-myapp.eastus.cloudapp.azure.com</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Dedicated subnet for App Gateway (REQUIRED – cannot share with other resources)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resource "azurerm_subnet" "appgw"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 "snet-appgw"</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resource_group_name  = azurerm_resource_group.main.name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virtual_network_name = azurerm_virtual_network.main.name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address_prefixes     = ["10.1.1.0/24"]</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locals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agw_frontend_ip   = "appgw-frontend-ip"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agw_frontend_port = "appgw-frontend-port-443"</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agw_backend_pool  = "appgw-aks-backend"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agw_http_settings = "appgw-http-settings"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agw_listener      = "appgw-https-listener"</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agw_routing_rule  = "appgw-routing-rule"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resource "azurerm_application_gateway" "main"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 "appgw-myapp-prod"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resource_group_name = azurerm_resource_group.main.name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location            = var.location</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sku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 "WAF_v2"</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tier     = "WAF_v2"</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capacity = 2   # min instances (autoscale can be set instead)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Autoscaling alternative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autoscale_configuration { min_capacity = 1 max_capacity = 5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gateway_ip_configuration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 "appgw-ip-config"</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subnet_id = azurerm_subnet.appgw.id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frontend_ip_configuration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 local.agw_frontend_ip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public_ip_address_id = azurerm_public_ip.appgw.id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frontend_port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 local.agw_frontend_port</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port = 443</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HTTP → HTTPS redirect listener</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frontend_port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 "appgw-frontend-port-80"</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port = 80</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backend_address_pool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 local.agw_backend_pool</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When using AGIC, this pool is managed by the AGIC controller</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Leave empty – AGIC populates backend IPs from K8s endpoints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backend_http_settings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 local.agw_http_settings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cookie_based_affinity = "Disabled"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port                  = 80   # Backend pod port</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protocol              = "Http"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request_timeout       = 30</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probe_name = "custom-health-probe"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http_listener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 local.agw_listener</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frontend_ip_configuration_name = local.agw_frontend_ip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frontend_port_name             = local.agw_frontend_port</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protocol                       = "Https"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ssl_certificate_name           = "appgw-tls-cert"</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host_name                      = "app.myapp.com"</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ssl_certificate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 "appgw-tls-cert"</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key_vault_secret_id = azurerm_key_vault_certificate.appgw.secret_id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request_routing_rule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 local.agw_routing_rule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rule_type                  = "Basic"</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priority                   = 100</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http_listener_name         = local.agw_listener</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backend_address_pool_name  = local.agw_backend_pool</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backend_http_settings_name = local.agw_http_settings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probe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 "custom-health-probe"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host                = "app.myapp.com"</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protocol            = "Http"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path                = "/healthz"</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interval            = 30</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timeout             = 30</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unhealthy_threshold = 3</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waf_configuration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enabled          = true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firewall_mode    = "Prevention"</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rule_set_type    = "OWASP"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rule_set_version = "3.2"</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AGIC needs contributor access to this App Gateway</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identity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type         = "UserAssigned"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identity_ids = [azurerm_user_assigned_identity.agic.id]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w:t>
            </w:r>
          </w:p>
        </w:tc>
      </w:tr>
    </w:tbl>
    <w:p>
      <w:pPr>
        <w:spacing w:after="0" w:before="100"/>
      </w:pPr>
      <w:r>
        <w:t xml:space="preserve"/>
      </w:r>
    </w:p>
    <w:p>
      <w:pPr>
        <w:pStyle w:val="Heading2"/>
        <w:pBdr>
          <w:bottom w:val="single" w:color="D0EFF3" w:sz="4" w:space="2"/>
        </w:pBdr>
        <w:spacing w:after="120" w:before="300"/>
      </w:pPr>
      <w:r>
        <w:rPr>
          <w:rFonts w:ascii="Arial" w:cs="Arial" w:eastAsia="Arial" w:hAnsi="Arial"/>
          <w:b/>
          <w:bCs/>
          <w:color w:val="00788A"/>
          <w:sz w:val="28"/>
          <w:szCs w:val="28"/>
        </w:rPr>
        <w:t xml:space="preserve">Interview Q &amp; 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8D4" w:sz="1"/>
              <w:left w:val="single" w:color="0078D4" w:sz="1"/>
              <w:bottom w:val="single" w:color="0078D4" w:sz="1"/>
              <w:right w:val="single" w:color="0078D4" w:sz="1"/>
            </w:tcBorders>
            <w:shd w:fill="D0E8FA" w:val="clear"/>
            <w:tcMar>
              <w:top w:type="dxa" w:w="80"/>
              <w:left w:type="dxa" w:w="160"/>
              <w:bottom w:type="dxa" w:w="80"/>
              <w:right w:type="dxa" w:w="160"/>
            </w:tcMar>
          </w:tcPr>
          <w:p>
            <w:r>
              <w:rPr>
                <w:rFonts w:ascii="Arial" w:cs="Arial" w:eastAsia="Arial" w:hAnsi="Arial"/>
                <w:b/>
                <w:bCs/>
                <w:color w:val="0078D4"/>
                <w:sz w:val="20"/>
                <w:szCs w:val="20"/>
              </w:rPr>
              <w:t xml:space="preserve">Q: </w:t>
            </w:r>
            <w:r>
              <w:rPr>
                <w:rFonts w:ascii="Arial" w:cs="Arial" w:eastAsia="Arial" w:hAnsi="Arial"/>
                <w:b/>
                <w:bCs/>
                <w:color w:val="1A1A1A"/>
                <w:sz w:val="20"/>
                <w:szCs w:val="20"/>
              </w:rPr>
              <w:t xml:space="preserve">What subnet requirements does Application Gateway have?</w:t>
            </w:r>
          </w:p>
        </w:tc>
      </w:tr>
      <w:tr>
        <w:tc>
          <w:tcPr>
            <w:tcW w:type="dxa" w:w="9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88A"/>
                <w:sz w:val="20"/>
                <w:szCs w:val="20"/>
              </w:rPr>
              <w:t xml:space="preserve">A: </w:t>
            </w:r>
            <w:r>
              <w:rPr>
                <w:rFonts w:ascii="Arial" w:cs="Arial" w:eastAsia="Arial" w:hAnsi="Arial"/>
                <w:color w:val="1A1A1A"/>
                <w:sz w:val="20"/>
                <w:szCs w:val="20"/>
              </w:rPr>
              <w:t xml:space="preserve">App Gateway requires a dedicated subnet — no other resources can share it. It needs at minimum a /28 (11 usable IPs) for Standard, but /24+ is recommended for autoscaling. Azure reserves 5 IPs per subnet plus ~1 IP per App Gateway instance. Always plan subnet size based on expected max instances.</w:t>
            </w:r>
          </w:p>
        </w:tc>
      </w:tr>
      <w:tr>
        <w:tc>
          <w:tcPr>
            <w:tcW w:type="dxa" w:w="9200"/>
            <w:tcBorders>
              <w:top w:val="single" w:color="0078D4" w:sz="1"/>
              <w:left w:val="single" w:color="0078D4" w:sz="1"/>
              <w:bottom w:val="single" w:color="0078D4" w:sz="1"/>
              <w:right w:val="single" w:color="0078D4" w:sz="1"/>
            </w:tcBorders>
            <w:shd w:fill="D0E8FA" w:val="clear"/>
            <w:tcMar>
              <w:top w:type="dxa" w:w="80"/>
              <w:left w:type="dxa" w:w="160"/>
              <w:bottom w:type="dxa" w:w="80"/>
              <w:right w:type="dxa" w:w="160"/>
            </w:tcMar>
          </w:tcPr>
          <w:p>
            <w:r>
              <w:rPr>
                <w:rFonts w:ascii="Arial" w:cs="Arial" w:eastAsia="Arial" w:hAnsi="Arial"/>
                <w:b/>
                <w:bCs/>
                <w:color w:val="0078D4"/>
                <w:sz w:val="20"/>
                <w:szCs w:val="20"/>
              </w:rPr>
              <w:t xml:space="preserve">Q: </w:t>
            </w:r>
            <w:r>
              <w:rPr>
                <w:rFonts w:ascii="Arial" w:cs="Arial" w:eastAsia="Arial" w:hAnsi="Arial"/>
                <w:b/>
                <w:bCs/>
                <w:color w:val="1A1A1A"/>
                <w:sz w:val="20"/>
                <w:szCs w:val="20"/>
              </w:rPr>
              <w:t xml:space="preserve">What is the difference between WAF v1 and WAF v2 / Standard v2?</w:t>
            </w:r>
          </w:p>
        </w:tc>
      </w:tr>
      <w:tr>
        <w:tc>
          <w:tcPr>
            <w:tcW w:type="dxa" w:w="9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88A"/>
                <w:sz w:val="20"/>
                <w:szCs w:val="20"/>
              </w:rPr>
              <w:t xml:space="preserve">A: </w:t>
            </w:r>
            <w:r>
              <w:rPr>
                <w:rFonts w:ascii="Arial" w:cs="Arial" w:eastAsia="Arial" w:hAnsi="Arial"/>
                <w:color w:val="1A1A1A"/>
                <w:sz w:val="20"/>
                <w:szCs w:val="20"/>
              </w:rPr>
              <w:t xml:space="preserve">V2 is the current generation. Key improvements: autoscaling (no more manual capacity planning), zone redundancy, static VIP, faster deployment, User Assigned Managed Identity support (required for Key Vault cert access and AGIC), and path/multi-site routing improvements. Always use v2 for new deployments.</w:t>
            </w:r>
          </w:p>
        </w:tc>
      </w:tr>
      <w:tr>
        <w:tc>
          <w:tcPr>
            <w:tcW w:type="dxa" w:w="9200"/>
            <w:tcBorders>
              <w:top w:val="single" w:color="0078D4" w:sz="1"/>
              <w:left w:val="single" w:color="0078D4" w:sz="1"/>
              <w:bottom w:val="single" w:color="0078D4" w:sz="1"/>
              <w:right w:val="single" w:color="0078D4" w:sz="1"/>
            </w:tcBorders>
            <w:shd w:fill="D0E8FA" w:val="clear"/>
            <w:tcMar>
              <w:top w:type="dxa" w:w="80"/>
              <w:left w:type="dxa" w:w="160"/>
              <w:bottom w:type="dxa" w:w="80"/>
              <w:right w:type="dxa" w:w="160"/>
            </w:tcMar>
          </w:tcPr>
          <w:p>
            <w:r>
              <w:rPr>
                <w:rFonts w:ascii="Arial" w:cs="Arial" w:eastAsia="Arial" w:hAnsi="Arial"/>
                <w:b/>
                <w:bCs/>
                <w:color w:val="0078D4"/>
                <w:sz w:val="20"/>
                <w:szCs w:val="20"/>
              </w:rPr>
              <w:t xml:space="preserve">Q: </w:t>
            </w:r>
            <w:r>
              <w:rPr>
                <w:rFonts w:ascii="Arial" w:cs="Arial" w:eastAsia="Arial" w:hAnsi="Arial"/>
                <w:b/>
                <w:bCs/>
                <w:color w:val="1A1A1A"/>
                <w:sz w:val="20"/>
                <w:szCs w:val="20"/>
              </w:rPr>
              <w:t xml:space="preserve">How does App Gateway handle SSL certificate rotation from Key Vault?</w:t>
            </w:r>
          </w:p>
        </w:tc>
      </w:tr>
      <w:tr>
        <w:tc>
          <w:tcPr>
            <w:tcW w:type="dxa" w:w="9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88A"/>
                <w:sz w:val="20"/>
                <w:szCs w:val="20"/>
              </w:rPr>
              <w:t xml:space="preserve">A: </w:t>
            </w:r>
            <w:r>
              <w:rPr>
                <w:rFonts w:ascii="Arial" w:cs="Arial" w:eastAsia="Arial" w:hAnsi="Arial"/>
                <w:color w:val="1A1A1A"/>
                <w:sz w:val="20"/>
                <w:szCs w:val="20"/>
              </w:rPr>
              <w:t xml:space="preserve">App Gateway v2 can reference a certificate by Key Vault secret ID using a User Assigned Managed Identity. When you rotate the cert in Key Vault, App Gateway automatically picks up the new version within ~4 hours (or you can trigger a manual sync). This removes the need for manual PFX uploads.</w:t>
            </w:r>
          </w:p>
        </w:tc>
      </w:tr>
      <w:tr>
        <w:tc>
          <w:tcPr>
            <w:tcW w:type="dxa" w:w="9200"/>
            <w:tcBorders>
              <w:top w:val="single" w:color="0078D4" w:sz="1"/>
              <w:left w:val="single" w:color="0078D4" w:sz="1"/>
              <w:bottom w:val="single" w:color="0078D4" w:sz="1"/>
              <w:right w:val="single" w:color="0078D4" w:sz="1"/>
            </w:tcBorders>
            <w:shd w:fill="D0E8FA" w:val="clear"/>
            <w:tcMar>
              <w:top w:type="dxa" w:w="80"/>
              <w:left w:type="dxa" w:w="160"/>
              <w:bottom w:type="dxa" w:w="80"/>
              <w:right w:type="dxa" w:w="160"/>
            </w:tcMar>
          </w:tcPr>
          <w:p>
            <w:r>
              <w:rPr>
                <w:rFonts w:ascii="Arial" w:cs="Arial" w:eastAsia="Arial" w:hAnsi="Arial"/>
                <w:b/>
                <w:bCs/>
                <w:color w:val="0078D4"/>
                <w:sz w:val="20"/>
                <w:szCs w:val="20"/>
              </w:rPr>
              <w:t xml:space="preserve">Q: </w:t>
            </w:r>
            <w:r>
              <w:rPr>
                <w:rFonts w:ascii="Arial" w:cs="Arial" w:eastAsia="Arial" w:hAnsi="Arial"/>
                <w:b/>
                <w:bCs/>
                <w:color w:val="1A1A1A"/>
                <w:sz w:val="20"/>
                <w:szCs w:val="20"/>
              </w:rPr>
              <w:t xml:space="preserve">What is connection draining and why is it important?</w:t>
            </w:r>
          </w:p>
        </w:tc>
      </w:tr>
      <w:tr>
        <w:tc>
          <w:tcPr>
            <w:tcW w:type="dxa" w:w="9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88A"/>
                <w:sz w:val="20"/>
                <w:szCs w:val="20"/>
              </w:rPr>
              <w:t xml:space="preserve">A: </w:t>
            </w:r>
            <w:r>
              <w:rPr>
                <w:rFonts w:ascii="Arial" w:cs="Arial" w:eastAsia="Arial" w:hAnsi="Arial"/>
                <w:color w:val="1A1A1A"/>
                <w:sz w:val="20"/>
                <w:szCs w:val="20"/>
              </w:rPr>
              <w:t xml:space="preserve">Connection draining allows App Gateway to gracefully remove a backend from the pool. When a backend is de-registered (e.g., during deployment), App Gateway waits for in-flight requests to complete (up to a configurable drain timeout, default 30s) before stopping new traffic to that backend. This prevents request drops during rolling updates.</w:t>
            </w:r>
          </w:p>
        </w:tc>
      </w:tr>
    </w:tbl>
    <w:p>
      <w:pPr>
        <w:spacing w:after="0" w:before="200"/>
      </w:pPr>
      <w:r>
        <w:t xml:space="preserve"/>
      </w:r>
    </w:p>
    <w:p>
      <w:pPr>
        <w:pStyle w:val="Heading1"/>
        <w:pBdr>
          <w:bottom w:val="single" w:color="0078D4" w:sz="8" w:space="4"/>
        </w:pBdr>
        <w:spacing w:after="160" w:before="400"/>
      </w:pPr>
      <w:r>
        <w:rPr>
          <w:rFonts w:ascii="Arial" w:cs="Arial" w:eastAsia="Arial" w:hAnsi="Arial"/>
          <w:b/>
          <w:bCs/>
          <w:color w:val="0078D4"/>
          <w:sz w:val="36"/>
          <w:szCs w:val="36"/>
        </w:rPr>
        <w:t xml:space="preserve">5. Enabling AGIC for AKS (App Gateway Ingress Controller)</w:t>
      </w:r>
    </w:p>
    <w:p>
      <w:pPr>
        <w:pStyle w:val="Heading2"/>
        <w:pBdr>
          <w:bottom w:val="single" w:color="D0EFF3" w:sz="4" w:space="2"/>
        </w:pBdr>
        <w:spacing w:after="120" w:before="300"/>
      </w:pPr>
      <w:r>
        <w:rPr>
          <w:rFonts w:ascii="Arial" w:cs="Arial" w:eastAsia="Arial" w:hAnsi="Arial"/>
          <w:b/>
          <w:bCs/>
          <w:color w:val="00788A"/>
          <w:sz w:val="28"/>
          <w:szCs w:val="28"/>
        </w:rPr>
        <w:t xml:space="preserve">What is AGIC?</w:t>
      </w:r>
    </w:p>
    <w:p>
      <w:pPr>
        <w:spacing w:after="60" w:before="60"/>
      </w:pPr>
      <w:r>
        <w:rPr>
          <w:rFonts w:ascii="Arial" w:cs="Arial" w:eastAsia="Arial" w:hAnsi="Arial"/>
          <w:color w:val="1A1A1A"/>
          <w:sz w:val="20"/>
          <w:szCs w:val="20"/>
        </w:rPr>
        <w:t xml:space="preserve">AGIC (Application Gateway Ingress Controller) is a Kubernetes controller that configures Azure Application Gateway based on Kubernetes Ingress resources. Instead of running an in-cluster ingress controller (like nginx), AGIC programs the App Gateway directly, leveraging Azure's native L7 load balancer. This means no sidecar proxy pods — routing happens at the App Gateway level, outside the cluster.</w:t>
      </w:r>
    </w:p>
    <w:p>
      <w:pPr>
        <w:spacing w:after="0" w:before="80"/>
      </w:pPr>
      <w:r>
        <w:t xml:space="preserve"/>
      </w:r>
    </w:p>
    <w:p>
      <w:pPr>
        <w:pStyle w:val="Heading2"/>
        <w:pBdr>
          <w:bottom w:val="single" w:color="D0EFF3" w:sz="4" w:space="2"/>
        </w:pBdr>
        <w:spacing w:after="120" w:before="300"/>
      </w:pPr>
      <w:r>
        <w:rPr>
          <w:rFonts w:ascii="Arial" w:cs="Arial" w:eastAsia="Arial" w:hAnsi="Arial"/>
          <w:b/>
          <w:bCs/>
          <w:color w:val="00788A"/>
          <w:sz w:val="28"/>
          <w:szCs w:val="28"/>
        </w:rPr>
        <w:t xml:space="preserve">AGIC Architecture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00"/>
      </w:tblGrid>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Kubernetes Control Plane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Ingress Resource (annotated for AGIC)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AGIC Pod (watches K8s API server)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  translates Ingress → App GW config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Azure REST API (ARM calls)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Azure Application Gateway</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(backend pools populated with pod IPs via CNI)</w:t>
            </w:r>
          </w:p>
        </w:tc>
      </w:tr>
    </w:tbl>
    <w:p>
      <w:pPr>
        <w:spacing w:after="0" w:before="80"/>
      </w:pPr>
      <w:r>
        <w:t xml:space="preserve"/>
      </w:r>
    </w:p>
    <w:p>
      <w:pPr>
        <w:pStyle w:val="Heading2"/>
        <w:pBdr>
          <w:bottom w:val="single" w:color="D0EFF3" w:sz="4" w:space="2"/>
        </w:pBdr>
        <w:spacing w:after="120" w:before="300"/>
      </w:pPr>
      <w:r>
        <w:rPr>
          <w:rFonts w:ascii="Arial" w:cs="Arial" w:eastAsia="Arial" w:hAnsi="Arial"/>
          <w:b/>
          <w:bCs/>
          <w:color w:val="00788A"/>
          <w:sz w:val="28"/>
          <w:szCs w:val="28"/>
        </w:rPr>
        <w:t xml:space="preserve">Prerequisites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078D4" w:val="clear"/>
            <w:tcMar>
              <w:top w:type="dxa" w:w="80"/>
              <w:left w:type="dxa" w:w="160"/>
              <w:bottom w:type="dxa" w:w="80"/>
              <w:right w:type="dxa" w:w="160"/>
            </w:tcMar>
          </w:tcPr>
          <w:p>
            <w:r>
              <w:rPr>
                <w:rFonts w:ascii="Arial" w:cs="Arial" w:eastAsia="Arial" w:hAnsi="Arial"/>
                <w:b/>
                <w:bCs/>
                <w:color w:val="FFFFFF"/>
                <w:sz w:val="22"/>
                <w:szCs w:val="22"/>
              </w:rPr>
              <w:t xml:space="preserve">Before enabling AGIC</w:t>
            </w:r>
          </w:p>
        </w:tc>
      </w:tr>
      <w:tr>
        <w:tc>
          <w:tcPr>
            <w:tcW w:type="dxa" w:w="9200"/>
            <w:tcBorders>
              <w:top w:val="none"/>
              <w:left w:val="none"/>
              <w:bottom w:val="none"/>
              <w:right w:val="none"/>
            </w:tcBorders>
            <w:shd w:fill="FDEBD5" w:val="clear"/>
            <w:tcMar>
              <w:top w:type="dxa" w:w="40"/>
              <w:left w:type="dxa" w:w="200"/>
              <w:bottom w:type="dxa" w:w="40"/>
              <w:right w:type="dxa" w:w="160"/>
            </w:tcMar>
          </w:tcPr>
          <w:p>
            <w:pPr>
              <w:pStyle w:val="ListParagraph"/>
              <w:numPr>
                <w:ilvl w:val="0"/>
                <w:numId w:val="3"/>
              </w:numPr>
            </w:pPr>
            <w:r>
              <w:rPr>
                <w:rFonts w:ascii="Arial" w:cs="Arial" w:eastAsia="Arial" w:hAnsi="Arial"/>
                <w:color w:val="1A1A1A"/>
                <w:sz w:val="20"/>
                <w:szCs w:val="20"/>
              </w:rPr>
              <w:t xml:space="preserve">AKS cluster with Azure CNI networking (not kubenet) — required for pod IP reachability</w:t>
            </w:r>
          </w:p>
        </w:tc>
      </w:tr>
      <w:tr>
        <w:tc>
          <w:tcPr>
            <w:tcW w:type="dxa" w:w="9200"/>
            <w:tcBorders>
              <w:top w:val="none"/>
              <w:left w:val="none"/>
              <w:bottom w:val="none"/>
              <w:right w:val="none"/>
            </w:tcBorders>
            <w:shd w:fill="FDEBD5" w:val="clear"/>
            <w:tcMar>
              <w:top w:type="dxa" w:w="40"/>
              <w:left w:type="dxa" w:w="200"/>
              <w:bottom w:type="dxa" w:w="40"/>
              <w:right w:type="dxa" w:w="160"/>
            </w:tcMar>
          </w:tcPr>
          <w:p>
            <w:pPr>
              <w:pStyle w:val="ListParagraph"/>
              <w:numPr>
                <w:ilvl w:val="0"/>
                <w:numId w:val="3"/>
              </w:numPr>
            </w:pPr>
            <w:r>
              <w:rPr>
                <w:rFonts w:ascii="Arial" w:cs="Arial" w:eastAsia="Arial" w:hAnsi="Arial"/>
                <w:color w:val="1A1A1A"/>
                <w:sz w:val="20"/>
                <w:szCs w:val="20"/>
              </w:rPr>
              <w:t xml:space="preserve">App Gateway in the same VNet as AKS (or peered VNet)</w:t>
            </w:r>
          </w:p>
        </w:tc>
      </w:tr>
      <w:tr>
        <w:tc>
          <w:tcPr>
            <w:tcW w:type="dxa" w:w="9200"/>
            <w:tcBorders>
              <w:top w:val="none"/>
              <w:left w:val="none"/>
              <w:bottom w:val="none"/>
              <w:right w:val="none"/>
            </w:tcBorders>
            <w:shd w:fill="FDEBD5" w:val="clear"/>
            <w:tcMar>
              <w:top w:type="dxa" w:w="40"/>
              <w:left w:type="dxa" w:w="200"/>
              <w:bottom w:type="dxa" w:w="40"/>
              <w:right w:type="dxa" w:w="160"/>
            </w:tcMar>
          </w:tcPr>
          <w:p>
            <w:pPr>
              <w:pStyle w:val="ListParagraph"/>
              <w:numPr>
                <w:ilvl w:val="0"/>
                <w:numId w:val="3"/>
              </w:numPr>
            </w:pPr>
            <w:r>
              <w:rPr>
                <w:rFonts w:ascii="Arial" w:cs="Arial" w:eastAsia="Arial" w:hAnsi="Arial"/>
                <w:color w:val="1A1A1A"/>
                <w:sz w:val="20"/>
                <w:szCs w:val="20"/>
              </w:rPr>
              <w:t xml:space="preserve">User Assigned Managed Identity for AGIC with Contributor role on App Gateway</w:t>
            </w:r>
          </w:p>
        </w:tc>
      </w:tr>
      <w:tr>
        <w:tc>
          <w:tcPr>
            <w:tcW w:type="dxa" w:w="9200"/>
            <w:tcBorders>
              <w:top w:val="none"/>
              <w:left w:val="none"/>
              <w:bottom w:val="none"/>
              <w:right w:val="none"/>
            </w:tcBorders>
            <w:shd w:fill="FDEBD5" w:val="clear"/>
            <w:tcMar>
              <w:top w:type="dxa" w:w="40"/>
              <w:left w:type="dxa" w:w="200"/>
              <w:bottom w:type="dxa" w:w="40"/>
              <w:right w:type="dxa" w:w="160"/>
            </w:tcMar>
          </w:tcPr>
          <w:p>
            <w:pPr>
              <w:pStyle w:val="ListParagraph"/>
              <w:numPr>
                <w:ilvl w:val="0"/>
                <w:numId w:val="3"/>
              </w:numPr>
            </w:pPr>
            <w:r>
              <w:rPr>
                <w:rFonts w:ascii="Arial" w:cs="Arial" w:eastAsia="Arial" w:hAnsi="Arial"/>
                <w:color w:val="1A1A1A"/>
                <w:sz w:val="20"/>
                <w:szCs w:val="20"/>
              </w:rPr>
              <w:t xml:space="preserve">Reader role on the App Gateway resource group</w:t>
            </w:r>
          </w:p>
        </w:tc>
      </w:tr>
      <w:tr>
        <w:tc>
          <w:tcPr>
            <w:tcW w:type="dxa" w:w="9200"/>
            <w:tcBorders>
              <w:top w:val="none"/>
              <w:left w:val="none"/>
              <w:bottom w:val="none"/>
              <w:right w:val="none"/>
            </w:tcBorders>
            <w:shd w:fill="FDEBD5" w:val="clear"/>
            <w:tcMar>
              <w:top w:type="dxa" w:w="40"/>
              <w:left w:type="dxa" w:w="200"/>
              <w:bottom w:type="dxa" w:w="40"/>
              <w:right w:type="dxa" w:w="160"/>
            </w:tcMar>
          </w:tcPr>
          <w:p>
            <w:pPr>
              <w:pStyle w:val="ListParagraph"/>
              <w:numPr>
                <w:ilvl w:val="0"/>
                <w:numId w:val="3"/>
              </w:numPr>
            </w:pPr>
            <w:r>
              <w:rPr>
                <w:rFonts w:ascii="Arial" w:cs="Arial" w:eastAsia="Arial" w:hAnsi="Arial"/>
                <w:color w:val="1A1A1A"/>
                <w:sz w:val="20"/>
                <w:szCs w:val="20"/>
              </w:rPr>
              <w:t xml:space="preserve">Network Contributor on the AKS subnet (for IP allocation)</w:t>
            </w:r>
          </w:p>
        </w:tc>
      </w:tr>
    </w:tbl>
    <w:p>
      <w:pPr>
        <w:spacing w:after="0" w:before="80"/>
      </w:pPr>
      <w:r>
        <w:t xml:space="preserve"/>
      </w:r>
    </w:p>
    <w:p>
      <w:pPr>
        <w:pStyle w:val="Heading2"/>
        <w:pBdr>
          <w:bottom w:val="single" w:color="D0EFF3" w:sz="4" w:space="2"/>
        </w:pBdr>
        <w:spacing w:after="120" w:before="300"/>
      </w:pPr>
      <w:r>
        <w:rPr>
          <w:rFonts w:ascii="Arial" w:cs="Arial" w:eastAsia="Arial" w:hAnsi="Arial"/>
          <w:b/>
          <w:bCs/>
          <w:color w:val="00788A"/>
          <w:sz w:val="28"/>
          <w:szCs w:val="28"/>
        </w:rPr>
        <w:t xml:space="preserve">Method 1: Enable AGIC as AKS Add-on (Recommended)</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00"/>
      </w:tblGrid>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Enable AGIC add-on when creating AKS (cleanest approach)</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az aks create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aks-myapp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--resource-group rg-custom-domain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--network-plugin azure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--enable-addons ingress-appgw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--appgw-id "/subscriptions/&lt;sub-id&gt;/resourceGroups/rg-custom-domain/providers/Microsoft.Network/applicationGateways/appgw-myapp-prod"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Enable on existing cluster</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az aks enable-addons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aks-myapp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--resource-group rg-custom-domain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--addon ingress-appgw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--appgw-id "&lt;app-gateway-resource-id&gt;"</w:t>
            </w:r>
          </w:p>
        </w:tc>
      </w:tr>
    </w:tbl>
    <w:p>
      <w:pPr>
        <w:spacing w:after="0" w:before="60"/>
      </w:pPr>
      <w:r>
        <w:t xml:space="preserve"/>
      </w:r>
    </w:p>
    <w:p>
      <w:pPr>
        <w:pStyle w:val="Heading2"/>
        <w:pBdr>
          <w:bottom w:val="single" w:color="D0EFF3" w:sz="4" w:space="2"/>
        </w:pBdr>
        <w:spacing w:after="120" w:before="300"/>
      </w:pPr>
      <w:r>
        <w:rPr>
          <w:rFonts w:ascii="Arial" w:cs="Arial" w:eastAsia="Arial" w:hAnsi="Arial"/>
          <w:b/>
          <w:bCs/>
          <w:color w:val="00788A"/>
          <w:sz w:val="28"/>
          <w:szCs w:val="28"/>
        </w:rPr>
        <w:t xml:space="preserve">Method 2: Terraform – AKS with AGIC Add-on</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00"/>
      </w:tblGrid>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aks.tf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User Assigned Identity for AGIC</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resource "azurerm_user_assigned_identity" "agic"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 "id-agic-myapp"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resource_group_name = azurerm_resource_group.main.name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location            = var.location</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Grant AGIC identity Contributor on App Gateway</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resource "azurerm_role_assignment" "agic_appgw_contributor"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scope                = azurerm_application_gateway.main.id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role_definition_name = "Contributor"</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principal_id         = azurerm_user_assigned_identity.agic.principal_id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Grant AGIC identity Reader on the resource group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resource "azurerm_role_assignment" "agic_rg_reader"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scope                = azurerm_resource_group.main.id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role_definition_name = "Reader"</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principal_id         = azurerm_user_assigned_identity.agic.principal_id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resource "azurerm_kubernetes_cluster" "main"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 "aks-myapp-prod"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resource_group_name = azurerm_resource_group.main.name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location            = var.location</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dns_prefix          = "aks-myapp"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default_node_pool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 "system"</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node_count     = 2</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vm_size        = "Standard_D4s_v3"</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vnet_subnet_id = azurerm_subnet.aks.id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upgrade_settings { max_surge = "33%"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Azure CNI is REQUIRED for AGIC</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network_profile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network_plugin = "azure"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network_policy = "calico"</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service_cidr   = "10.100.0.0/16"</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dns_service_ip = "10.100.0.10"</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AGIC Add-on configuration</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ingress_application_gateway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gateway_id = azurerm_application_gateway.main.id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identity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type         = "UserAssigned"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identity_ids = [azurerm_user_assigned_identity.agic.id]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oidc_issuer_enabled       = true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workload_identity_enabled = true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w:t>
            </w:r>
          </w:p>
        </w:tc>
      </w:tr>
    </w:tbl>
    <w:p>
      <w:pPr>
        <w:spacing w:after="0" w:before="100"/>
      </w:pPr>
      <w:r>
        <w:t xml:space="preserve"/>
      </w:r>
    </w:p>
    <w:p>
      <w:pPr>
        <w:pStyle w:val="Heading2"/>
        <w:pBdr>
          <w:bottom w:val="single" w:color="D0EFF3" w:sz="4" w:space="2"/>
        </w:pBdr>
        <w:spacing w:after="120" w:before="300"/>
      </w:pPr>
      <w:r>
        <w:rPr>
          <w:rFonts w:ascii="Arial" w:cs="Arial" w:eastAsia="Arial" w:hAnsi="Arial"/>
          <w:b/>
          <w:bCs/>
          <w:color w:val="00788A"/>
          <w:sz w:val="28"/>
          <w:szCs w:val="28"/>
        </w:rPr>
        <w:t xml:space="preserve">Interview Q &amp; 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8D4" w:sz="1"/>
              <w:left w:val="single" w:color="0078D4" w:sz="1"/>
              <w:bottom w:val="single" w:color="0078D4" w:sz="1"/>
              <w:right w:val="single" w:color="0078D4" w:sz="1"/>
            </w:tcBorders>
            <w:shd w:fill="D0E8FA" w:val="clear"/>
            <w:tcMar>
              <w:top w:type="dxa" w:w="80"/>
              <w:left w:type="dxa" w:w="160"/>
              <w:bottom w:type="dxa" w:w="80"/>
              <w:right w:type="dxa" w:w="160"/>
            </w:tcMar>
          </w:tcPr>
          <w:p>
            <w:r>
              <w:rPr>
                <w:rFonts w:ascii="Arial" w:cs="Arial" w:eastAsia="Arial" w:hAnsi="Arial"/>
                <w:b/>
                <w:bCs/>
                <w:color w:val="0078D4"/>
                <w:sz w:val="20"/>
                <w:szCs w:val="20"/>
              </w:rPr>
              <w:t xml:space="preserve">Q: </w:t>
            </w:r>
            <w:r>
              <w:rPr>
                <w:rFonts w:ascii="Arial" w:cs="Arial" w:eastAsia="Arial" w:hAnsi="Arial"/>
                <w:b/>
                <w:bCs/>
                <w:color w:val="1A1A1A"/>
                <w:sz w:val="20"/>
                <w:szCs w:val="20"/>
              </w:rPr>
              <w:t xml:space="preserve">Why does AGIC require Azure CNI instead of kubenet?</w:t>
            </w:r>
          </w:p>
        </w:tc>
      </w:tr>
      <w:tr>
        <w:tc>
          <w:tcPr>
            <w:tcW w:type="dxa" w:w="9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88A"/>
                <w:sz w:val="20"/>
                <w:szCs w:val="20"/>
              </w:rPr>
              <w:t xml:space="preserve">A: </w:t>
            </w:r>
            <w:r>
              <w:rPr>
                <w:rFonts w:ascii="Arial" w:cs="Arial" w:eastAsia="Arial" w:hAnsi="Arial"/>
                <w:color w:val="1A1A1A"/>
                <w:sz w:val="20"/>
                <w:szCs w:val="20"/>
              </w:rPr>
              <w:t xml:space="preserve">AGIC programs App Gateway backend pools directly with pod IPs. With Azure CNI, each pod gets a real VNet IP reachable from the App Gateway (they share the VNet or are peered). With kubenet, pods get IPs from an overlay network not directly routable from App Gateway — you'd need custom routes for every node, which is fragile at scale. Azure CNI is the supported and recommended choice.</w:t>
            </w:r>
          </w:p>
        </w:tc>
      </w:tr>
      <w:tr>
        <w:tc>
          <w:tcPr>
            <w:tcW w:type="dxa" w:w="9200"/>
            <w:tcBorders>
              <w:top w:val="single" w:color="0078D4" w:sz="1"/>
              <w:left w:val="single" w:color="0078D4" w:sz="1"/>
              <w:bottom w:val="single" w:color="0078D4" w:sz="1"/>
              <w:right w:val="single" w:color="0078D4" w:sz="1"/>
            </w:tcBorders>
            <w:shd w:fill="D0E8FA" w:val="clear"/>
            <w:tcMar>
              <w:top w:type="dxa" w:w="80"/>
              <w:left w:type="dxa" w:w="160"/>
              <w:bottom w:type="dxa" w:w="80"/>
              <w:right w:type="dxa" w:w="160"/>
            </w:tcMar>
          </w:tcPr>
          <w:p>
            <w:r>
              <w:rPr>
                <w:rFonts w:ascii="Arial" w:cs="Arial" w:eastAsia="Arial" w:hAnsi="Arial"/>
                <w:b/>
                <w:bCs/>
                <w:color w:val="0078D4"/>
                <w:sz w:val="20"/>
                <w:szCs w:val="20"/>
              </w:rPr>
              <w:t xml:space="preserve">Q: </w:t>
            </w:r>
            <w:r>
              <w:rPr>
                <w:rFonts w:ascii="Arial" w:cs="Arial" w:eastAsia="Arial" w:hAnsi="Arial"/>
                <w:b/>
                <w:bCs/>
                <w:color w:val="1A1A1A"/>
                <w:sz w:val="20"/>
                <w:szCs w:val="20"/>
              </w:rPr>
              <w:t xml:space="preserve">What is the difference between AGIC as an AKS add-on vs Helm deployment?</w:t>
            </w:r>
          </w:p>
        </w:tc>
      </w:tr>
      <w:tr>
        <w:tc>
          <w:tcPr>
            <w:tcW w:type="dxa" w:w="9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88A"/>
                <w:sz w:val="20"/>
                <w:szCs w:val="20"/>
              </w:rPr>
              <w:t xml:space="preserve">A: </w:t>
            </w:r>
            <w:r>
              <w:rPr>
                <w:rFonts w:ascii="Arial" w:cs="Arial" w:eastAsia="Arial" w:hAnsi="Arial"/>
                <w:color w:val="1A1A1A"/>
                <w:sz w:val="20"/>
                <w:szCs w:val="20"/>
              </w:rPr>
              <w:t xml:space="preserve">The AKS add-on is managed by Azure: Microsoft handles upgrades, the managed identity is provisioned automatically, and it's integrated with AKS lifecycle. The Helm deployment gives more control over the version and config but requires manual identity setup and upgrade management. For production, the add-on approach is recommended to reduce operational burden.</w:t>
            </w:r>
          </w:p>
        </w:tc>
      </w:tr>
      <w:tr>
        <w:tc>
          <w:tcPr>
            <w:tcW w:type="dxa" w:w="9200"/>
            <w:tcBorders>
              <w:top w:val="single" w:color="0078D4" w:sz="1"/>
              <w:left w:val="single" w:color="0078D4" w:sz="1"/>
              <w:bottom w:val="single" w:color="0078D4" w:sz="1"/>
              <w:right w:val="single" w:color="0078D4" w:sz="1"/>
            </w:tcBorders>
            <w:shd w:fill="D0E8FA" w:val="clear"/>
            <w:tcMar>
              <w:top w:type="dxa" w:w="80"/>
              <w:left w:type="dxa" w:w="160"/>
              <w:bottom w:type="dxa" w:w="80"/>
              <w:right w:type="dxa" w:w="160"/>
            </w:tcMar>
          </w:tcPr>
          <w:p>
            <w:r>
              <w:rPr>
                <w:rFonts w:ascii="Arial" w:cs="Arial" w:eastAsia="Arial" w:hAnsi="Arial"/>
                <w:b/>
                <w:bCs/>
                <w:color w:val="0078D4"/>
                <w:sz w:val="20"/>
                <w:szCs w:val="20"/>
              </w:rPr>
              <w:t xml:space="preserve">Q: </w:t>
            </w:r>
            <w:r>
              <w:rPr>
                <w:rFonts w:ascii="Arial" w:cs="Arial" w:eastAsia="Arial" w:hAnsi="Arial"/>
                <w:b/>
                <w:bCs/>
                <w:color w:val="1A1A1A"/>
                <w:sz w:val="20"/>
                <w:szCs w:val="20"/>
              </w:rPr>
              <w:t xml:space="preserve">What happens if someone deletes the App Gateway resource that AGIC is managing?</w:t>
            </w:r>
          </w:p>
        </w:tc>
      </w:tr>
      <w:tr>
        <w:tc>
          <w:tcPr>
            <w:tcW w:type="dxa" w:w="9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88A"/>
                <w:sz w:val="20"/>
                <w:szCs w:val="20"/>
              </w:rPr>
              <w:t xml:space="preserve">A: </w:t>
            </w:r>
            <w:r>
              <w:rPr>
                <w:rFonts w:ascii="Arial" w:cs="Arial" w:eastAsia="Arial" w:hAnsi="Arial"/>
                <w:color w:val="1A1A1A"/>
                <w:sz w:val="20"/>
                <w:szCs w:val="20"/>
              </w:rPr>
              <w:t xml:space="preserve">AGIC will continuously attempt to reconcile and will fail with ARM errors in its logs. The ingress resources in Kubernetes become unprocessed — existing connections may still work if App Gateway is recreated with the same config, but new Ingress changes won't be applied. Always protect the App Gateway with Azure resource locks and Terraform lifecycle prevent_destroy.</w:t>
            </w:r>
          </w:p>
        </w:tc>
      </w:tr>
      <w:tr>
        <w:tc>
          <w:tcPr>
            <w:tcW w:type="dxa" w:w="9200"/>
            <w:tcBorders>
              <w:top w:val="single" w:color="0078D4" w:sz="1"/>
              <w:left w:val="single" w:color="0078D4" w:sz="1"/>
              <w:bottom w:val="single" w:color="0078D4" w:sz="1"/>
              <w:right w:val="single" w:color="0078D4" w:sz="1"/>
            </w:tcBorders>
            <w:shd w:fill="D0E8FA" w:val="clear"/>
            <w:tcMar>
              <w:top w:type="dxa" w:w="80"/>
              <w:left w:type="dxa" w:w="160"/>
              <w:bottom w:type="dxa" w:w="80"/>
              <w:right w:type="dxa" w:w="160"/>
            </w:tcMar>
          </w:tcPr>
          <w:p>
            <w:r>
              <w:rPr>
                <w:rFonts w:ascii="Arial" w:cs="Arial" w:eastAsia="Arial" w:hAnsi="Arial"/>
                <w:b/>
                <w:bCs/>
                <w:color w:val="0078D4"/>
                <w:sz w:val="20"/>
                <w:szCs w:val="20"/>
              </w:rPr>
              <w:t xml:space="preserve">Q: </w:t>
            </w:r>
            <w:r>
              <w:rPr>
                <w:rFonts w:ascii="Arial" w:cs="Arial" w:eastAsia="Arial" w:hAnsi="Arial"/>
                <w:b/>
                <w:bCs/>
                <w:color w:val="1A1A1A"/>
                <w:sz w:val="20"/>
                <w:szCs w:val="20"/>
              </w:rPr>
              <w:t xml:space="preserve">Can multiple AKS clusters share one Application Gateway via AGIC?</w:t>
            </w:r>
          </w:p>
        </w:tc>
      </w:tr>
      <w:tr>
        <w:tc>
          <w:tcPr>
            <w:tcW w:type="dxa" w:w="9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88A"/>
                <w:sz w:val="20"/>
                <w:szCs w:val="20"/>
              </w:rPr>
              <w:t xml:space="preserve">A: </w:t>
            </w:r>
            <w:r>
              <w:rPr>
                <w:rFonts w:ascii="Arial" w:cs="Arial" w:eastAsia="Arial" w:hAnsi="Arial"/>
                <w:color w:val="1A1A1A"/>
                <w:sz w:val="20"/>
                <w:szCs w:val="20"/>
              </w:rPr>
              <w:t xml:space="preserve">No. Each App Gateway instance can only be managed by one AGIC instance. Multiple clusters would overwrite each other's configurations. For multi-cluster scenarios, use separate App Gateways per cluster, or use a service mesh / Front Door at the top layer to aggregate traffic.</w:t>
            </w:r>
          </w:p>
        </w:tc>
      </w:tr>
    </w:tbl>
    <w:p>
      <w:pPr>
        <w:spacing w:after="0" w:before="200"/>
      </w:pPr>
      <w:r>
        <w:t xml:space="preserve"/>
      </w:r>
    </w:p>
    <w:p>
      <w:pPr>
        <w:pStyle w:val="Heading1"/>
        <w:pBdr>
          <w:bottom w:val="single" w:color="0078D4" w:sz="8" w:space="4"/>
        </w:pBdr>
        <w:spacing w:after="160" w:before="400"/>
      </w:pPr>
      <w:r>
        <w:rPr>
          <w:rFonts w:ascii="Arial" w:cs="Arial" w:eastAsia="Arial" w:hAnsi="Arial"/>
          <w:b/>
          <w:bCs/>
          <w:color w:val="0078D4"/>
          <w:sz w:val="36"/>
          <w:szCs w:val="36"/>
        </w:rPr>
        <w:t xml:space="preserve">6. Ingress Resource &amp; Backend AKS Pods</w:t>
      </w:r>
    </w:p>
    <w:p>
      <w:pPr>
        <w:pStyle w:val="Heading2"/>
        <w:pBdr>
          <w:bottom w:val="single" w:color="D0EFF3" w:sz="4" w:space="2"/>
        </w:pBdr>
        <w:spacing w:after="120" w:before="300"/>
      </w:pPr>
      <w:r>
        <w:rPr>
          <w:rFonts w:ascii="Arial" w:cs="Arial" w:eastAsia="Arial" w:hAnsi="Arial"/>
          <w:b/>
          <w:bCs/>
          <w:color w:val="00788A"/>
          <w:sz w:val="28"/>
          <w:szCs w:val="28"/>
        </w:rPr>
        <w:t xml:space="preserve">Ingress YAML for AGIC</w:t>
      </w:r>
    </w:p>
    <w:p>
      <w:pPr>
        <w:spacing w:after="60" w:before="60"/>
      </w:pPr>
      <w:r>
        <w:rPr>
          <w:rFonts w:ascii="Arial" w:cs="Arial" w:eastAsia="Arial" w:hAnsi="Arial"/>
          <w:color w:val="1A1A1A"/>
          <w:sz w:val="20"/>
          <w:szCs w:val="20"/>
        </w:rPr>
        <w:t xml:space="preserve">The Kubernetes Ingress resource declares how external HTTP(S) traffic should be routed to services within the cluster. When AGIC is deployed, it watches Ingress resources with the kubernetes.io/ingress.class: azure/application-gateway annotation and translates them into App Gateway configuration.</w:t>
      </w:r>
    </w:p>
    <w:p>
      <w:pPr>
        <w:spacing w:after="0" w:before="80"/>
      </w:pPr>
      <w:r>
        <w:t xml:space="preserve"/>
      </w:r>
    </w:p>
    <w:p>
      <w:pPr>
        <w:pStyle w:val="Heading3"/>
        <w:spacing w:after="80" w:before="200"/>
      </w:pPr>
      <w:r>
        <w:rPr>
          <w:rFonts w:ascii="Arial" w:cs="Arial" w:eastAsia="Arial" w:hAnsi="Arial"/>
          <w:b/>
          <w:bCs/>
          <w:color w:val="0078D4"/>
          <w:sz w:val="24"/>
          <w:szCs w:val="24"/>
        </w:rPr>
        <w:t xml:space="preserve">Complete Application Stack YAML</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00"/>
      </w:tblGrid>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namespace.yaml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apiVersion: v1</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kind: Namespace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metadata:</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myapp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labels: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app: myapp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w:t>
            </w:r>
          </w:p>
        </w:tc>
      </w:tr>
    </w:tbl>
    <w:p>
      <w:pPr>
        <w:spacing w:after="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00"/>
      </w:tblGrid>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deployment.yaml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apiVersion: apps/v1</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kind: Deployment</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metadata:</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myapp-deployment</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namespace: myapp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labels: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app: myapp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version: v1</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spec:</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replicas: 3</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selector:</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matchLabels: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app: myapp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strategy:</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type: RollingUpdate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rollingUpdate: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maxSurge: 1</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maxUnavailable: 0      # Zero-downtime rolling update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template: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metadata:</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labels: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app: myapp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version: v1</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spec:</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containers: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name: myapp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image: myacr.azurecr.io/myapp:1.0.0</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ports: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containerPort: 8080</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resources: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requests: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cpu: 250m</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memory: 256Mi</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limits: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cpu: 500m</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memory: 512Mi</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livenessProbe: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httpGet:</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path: /healthz</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port: 8080</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initialDelaySeconds: 15</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periodSeconds: 20</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readinessProbe: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httpGet:</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path: /ready</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port: 8080</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initialDelaySeconds: 5</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periodSeconds: 10</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env:</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name: APP_ENV</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value: production</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name: DB_PASSWORD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valueFrom:</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secretKeyRef:</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myapp-secrets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key: db-password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topologySpreadConstraints:         # Spread pods across zones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maxSkew: 1</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topologyKey: topology.kubernetes.io/zone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whenUnsatisfiable: DoNotSchedule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labelSelector:</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matchLabels: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app: myapp</w:t>
            </w:r>
          </w:p>
        </w:tc>
      </w:tr>
    </w:tbl>
    <w:p>
      <w:pPr>
        <w:spacing w:after="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00"/>
      </w:tblGrid>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service.yaml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apiVersion: v1</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kind: Service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metadata:</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myapp-service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namespace: myapp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labels: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app: myapp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spec:</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type: ClusterIP          # AGIC communicates with ClusterIP services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selector:</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app: myapp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ports: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name: http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port: 80</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targetPort: 8080</w:t>
            </w:r>
          </w:p>
        </w:tc>
      </w:tr>
    </w:tbl>
    <w:p>
      <w:pPr>
        <w:spacing w:after="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00"/>
      </w:tblGrid>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ingress.yaml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apiVersion: networking.k8s.io/v1</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kind: Ingress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metadata:</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myapp-ingress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namespace: myapp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annotations: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kubernetes.io/ingress.class: azure/application-gateway</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SSL redirect – AGIC annotation</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appgw.ingress.kubernetes.io/ssl-redirect: 'true'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Use the App Gateway's WAF policy</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appgw.ingress.kubernetes.io/waf-policy-for-path: /subscriptions/&lt;sub&gt;/resourceGroups/rg-custom-domain/providers/Microsoft.Network/ApplicationGatewayWebApplicationFirewallPolicies/waf-myapp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Connection draining</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appgw.ingress.kubernetes.io/connection-draining: 'true'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appgw.ingress.kubernetes.io/connection-draining-timeout: '30'</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Request timeout (seconds)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appgw.ingress.kubernetes.io/request-timeout: '30'</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Health probe overrides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appgw.ingress.kubernetes.io/health-probe-path: /healthz</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appgw.ingress.kubernetes.io/health-probe-interval: '30'</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appgw.ingress.kubernetes.io/health-probe-timeout: '20'</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appgw.ingress.kubernetes.io/health-probe-unhealthy-threshold: '3'</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Cookie-based session affinity (optional)</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appgw.ingress.kubernetes.io/cookie-based-affinity: 'true'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spec:</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tls: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hosts: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app.myapp.com</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secretName: myapp-tls-secret   # K8s TLS secret (cert + key)</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rules: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host: app.myapp.com</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http: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paths: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path: /api</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pathType: Prefix</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backend: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service: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myapp-api-service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port:</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number: 80</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path: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pathType: Prefix</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backend:</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service: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myapp-service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port:</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number: 80</w:t>
            </w:r>
          </w:p>
        </w:tc>
      </w:tr>
    </w:tbl>
    <w:p>
      <w:pPr>
        <w:spacing w:after="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00"/>
      </w:tblGrid>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hpa.yaml – Horizontal Pod Autoscaler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apiVersion: autoscaling/v2</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kind: HorizontalPodAutoscaler</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metadata:</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myapp-hpa</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namespace: myapp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spec:</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scaleTargetRef:</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apiVersion: apps/v1</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kind: Deployment</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myapp-deployment</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minReplicas: 3</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maxReplicas: 20</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metrics: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type: Resource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resource: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cpu</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target:</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type: Utilization</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averageUtilization: 70</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type: Resource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resource: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memory</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target:</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type: Utilization</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averageUtilization: 80</w:t>
            </w:r>
          </w:p>
        </w:tc>
      </w:tr>
    </w:tbl>
    <w:p>
      <w:pPr>
        <w:spacing w:after="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00"/>
      </w:tblGrid>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 pdb.yaml – Pod Disruption Budget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apiVersion: policy/v1</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kind: PodDisruptionBudget</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metadata:</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myapp-pdb</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namespace: myapp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spec:</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minAvailable: 2    # Always keep 2 pods running during disruptions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selector:</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matchLabels: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app: myapp</w:t>
            </w:r>
          </w:p>
        </w:tc>
      </w:tr>
    </w:tbl>
    <w:p>
      <w:pPr>
        <w:spacing w:after="0" w:before="100"/>
      </w:pPr>
      <w:r>
        <w:t xml:space="preserve"/>
      </w:r>
    </w:p>
    <w:p>
      <w:pPr>
        <w:pStyle w:val="Heading2"/>
        <w:pBdr>
          <w:bottom w:val="single" w:color="D0EFF3" w:sz="4" w:space="2"/>
        </w:pBdr>
        <w:spacing w:after="120" w:before="300"/>
      </w:pPr>
      <w:r>
        <w:rPr>
          <w:rFonts w:ascii="Arial" w:cs="Arial" w:eastAsia="Arial" w:hAnsi="Arial"/>
          <w:b/>
          <w:bCs/>
          <w:color w:val="00788A"/>
          <w:sz w:val="28"/>
          <w:szCs w:val="28"/>
        </w:rPr>
        <w:t xml:space="preserve">Interview Q &amp; 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8D4" w:sz="1"/>
              <w:left w:val="single" w:color="0078D4" w:sz="1"/>
              <w:bottom w:val="single" w:color="0078D4" w:sz="1"/>
              <w:right w:val="single" w:color="0078D4" w:sz="1"/>
            </w:tcBorders>
            <w:shd w:fill="D0E8FA" w:val="clear"/>
            <w:tcMar>
              <w:top w:type="dxa" w:w="80"/>
              <w:left w:type="dxa" w:w="160"/>
              <w:bottom w:type="dxa" w:w="80"/>
              <w:right w:type="dxa" w:w="160"/>
            </w:tcMar>
          </w:tcPr>
          <w:p>
            <w:r>
              <w:rPr>
                <w:rFonts w:ascii="Arial" w:cs="Arial" w:eastAsia="Arial" w:hAnsi="Arial"/>
                <w:b/>
                <w:bCs/>
                <w:color w:val="0078D4"/>
                <w:sz w:val="20"/>
                <w:szCs w:val="20"/>
              </w:rPr>
              <w:t xml:space="preserve">Q: </w:t>
            </w:r>
            <w:r>
              <w:rPr>
                <w:rFonts w:ascii="Arial" w:cs="Arial" w:eastAsia="Arial" w:hAnsi="Arial"/>
                <w:b/>
                <w:bCs/>
                <w:color w:val="1A1A1A"/>
                <w:sz w:val="20"/>
                <w:szCs w:val="20"/>
              </w:rPr>
              <w:t xml:space="preserve">What is the difference between Ingress and Service LoadBalancer type in AKS?</w:t>
            </w:r>
          </w:p>
        </w:tc>
      </w:tr>
      <w:tr>
        <w:tc>
          <w:tcPr>
            <w:tcW w:type="dxa" w:w="9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88A"/>
                <w:sz w:val="20"/>
                <w:szCs w:val="20"/>
              </w:rPr>
              <w:t xml:space="preserve">A: </w:t>
            </w:r>
            <w:r>
              <w:rPr>
                <w:rFonts w:ascii="Arial" w:cs="Arial" w:eastAsia="Arial" w:hAnsi="Arial"/>
                <w:color w:val="1A1A1A"/>
                <w:sz w:val="20"/>
                <w:szCs w:val="20"/>
              </w:rPr>
              <w:t xml:space="preserve">A Service of type LoadBalancer provisions an Azure Load Balancer (L4, TCP/UDP) with a public IP per service — expensive at scale. An Ingress controller provides L7 routing (HTTP/HTTPS) via a single entry point shared by multiple services/paths. With AGIC, the Ingress object translates to App Gateway rules, so you share one App Gateway across all services.</w:t>
            </w:r>
          </w:p>
        </w:tc>
      </w:tr>
      <w:tr>
        <w:tc>
          <w:tcPr>
            <w:tcW w:type="dxa" w:w="9200"/>
            <w:tcBorders>
              <w:top w:val="single" w:color="0078D4" w:sz="1"/>
              <w:left w:val="single" w:color="0078D4" w:sz="1"/>
              <w:bottom w:val="single" w:color="0078D4" w:sz="1"/>
              <w:right w:val="single" w:color="0078D4" w:sz="1"/>
            </w:tcBorders>
            <w:shd w:fill="D0E8FA" w:val="clear"/>
            <w:tcMar>
              <w:top w:type="dxa" w:w="80"/>
              <w:left w:type="dxa" w:w="160"/>
              <w:bottom w:type="dxa" w:w="80"/>
              <w:right w:type="dxa" w:w="160"/>
            </w:tcMar>
          </w:tcPr>
          <w:p>
            <w:r>
              <w:rPr>
                <w:rFonts w:ascii="Arial" w:cs="Arial" w:eastAsia="Arial" w:hAnsi="Arial"/>
                <w:b/>
                <w:bCs/>
                <w:color w:val="0078D4"/>
                <w:sz w:val="20"/>
                <w:szCs w:val="20"/>
              </w:rPr>
              <w:t xml:space="preserve">Q: </w:t>
            </w:r>
            <w:r>
              <w:rPr>
                <w:rFonts w:ascii="Arial" w:cs="Arial" w:eastAsia="Arial" w:hAnsi="Arial"/>
                <w:b/>
                <w:bCs/>
                <w:color w:val="1A1A1A"/>
                <w:sz w:val="20"/>
                <w:szCs w:val="20"/>
              </w:rPr>
              <w:t xml:space="preserve">Explain liveness vs readiness vs startup probes and their impact on AGIC.</w:t>
            </w:r>
          </w:p>
        </w:tc>
      </w:tr>
      <w:tr>
        <w:tc>
          <w:tcPr>
            <w:tcW w:type="dxa" w:w="9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88A"/>
                <w:sz w:val="20"/>
                <w:szCs w:val="20"/>
              </w:rPr>
              <w:t xml:space="preserve">A: </w:t>
            </w:r>
            <w:r>
              <w:rPr>
                <w:rFonts w:ascii="Arial" w:cs="Arial" w:eastAsia="Arial" w:hAnsi="Arial"/>
                <w:color w:val="1A1A1A"/>
                <w:sz w:val="20"/>
                <w:szCs w:val="20"/>
              </w:rPr>
              <w:t xml:space="preserve">Readiness probe determines if a pod is added to the Service endpoints (and thus to App Gateway's backend pool via AGIC). If readiness fails, the pod is removed from the backend pool. Liveness probe restarts a pod if it becomes unhealthy. Startup probe gives the container time to start before liveness kicks in. Correctly configuring readiness probes is critical — misconfiguration causes 502/503 from App Gateway.</w:t>
            </w:r>
          </w:p>
        </w:tc>
      </w:tr>
      <w:tr>
        <w:tc>
          <w:tcPr>
            <w:tcW w:type="dxa" w:w="9200"/>
            <w:tcBorders>
              <w:top w:val="single" w:color="0078D4" w:sz="1"/>
              <w:left w:val="single" w:color="0078D4" w:sz="1"/>
              <w:bottom w:val="single" w:color="0078D4" w:sz="1"/>
              <w:right w:val="single" w:color="0078D4" w:sz="1"/>
            </w:tcBorders>
            <w:shd w:fill="D0E8FA" w:val="clear"/>
            <w:tcMar>
              <w:top w:type="dxa" w:w="80"/>
              <w:left w:type="dxa" w:w="160"/>
              <w:bottom w:type="dxa" w:w="80"/>
              <w:right w:type="dxa" w:w="160"/>
            </w:tcMar>
          </w:tcPr>
          <w:p>
            <w:r>
              <w:rPr>
                <w:rFonts w:ascii="Arial" w:cs="Arial" w:eastAsia="Arial" w:hAnsi="Arial"/>
                <w:b/>
                <w:bCs/>
                <w:color w:val="0078D4"/>
                <w:sz w:val="20"/>
                <w:szCs w:val="20"/>
              </w:rPr>
              <w:t xml:space="preserve">Q: </w:t>
            </w:r>
            <w:r>
              <w:rPr>
                <w:rFonts w:ascii="Arial" w:cs="Arial" w:eastAsia="Arial" w:hAnsi="Arial"/>
                <w:b/>
                <w:bCs/>
                <w:color w:val="1A1A1A"/>
                <w:sz w:val="20"/>
                <w:szCs w:val="20"/>
              </w:rPr>
              <w:t xml:space="preserve">How do you handle TLS in AKS when using AGIC?</w:t>
            </w:r>
          </w:p>
        </w:tc>
      </w:tr>
      <w:tr>
        <w:tc>
          <w:tcPr>
            <w:tcW w:type="dxa" w:w="9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88A"/>
                <w:sz w:val="20"/>
                <w:szCs w:val="20"/>
              </w:rPr>
              <w:t xml:space="preserve">A: </w:t>
            </w:r>
            <w:r>
              <w:rPr>
                <w:rFonts w:ascii="Arial" w:cs="Arial" w:eastAsia="Arial" w:hAnsi="Arial"/>
                <w:color w:val="1A1A1A"/>
                <w:sz w:val="20"/>
                <w:szCs w:val="20"/>
              </w:rPr>
              <w:t xml:space="preserve">Two common patterns: (1) SSL termination at App Gateway — mount the cert as a K8s secret, AGIC programs it on the listener; traffic from App Gateway to pods is HTTP (end-to-end encryption not required). (2) End-to-end SSL — App Gateway has the public cert, backend pods also run HTTPS; AGIC configures App Gateway's backend settings with HTTPS protocol. Pattern 1 is most common; Pattern 2 is needed for strict compliance requirements.</w:t>
            </w:r>
          </w:p>
        </w:tc>
      </w:tr>
      <w:tr>
        <w:tc>
          <w:tcPr>
            <w:tcW w:type="dxa" w:w="9200"/>
            <w:tcBorders>
              <w:top w:val="single" w:color="0078D4" w:sz="1"/>
              <w:left w:val="single" w:color="0078D4" w:sz="1"/>
              <w:bottom w:val="single" w:color="0078D4" w:sz="1"/>
              <w:right w:val="single" w:color="0078D4" w:sz="1"/>
            </w:tcBorders>
            <w:shd w:fill="D0E8FA" w:val="clear"/>
            <w:tcMar>
              <w:top w:type="dxa" w:w="80"/>
              <w:left w:type="dxa" w:w="160"/>
              <w:bottom w:type="dxa" w:w="80"/>
              <w:right w:type="dxa" w:w="160"/>
            </w:tcMar>
          </w:tcPr>
          <w:p>
            <w:r>
              <w:rPr>
                <w:rFonts w:ascii="Arial" w:cs="Arial" w:eastAsia="Arial" w:hAnsi="Arial"/>
                <w:b/>
                <w:bCs/>
                <w:color w:val="0078D4"/>
                <w:sz w:val="20"/>
                <w:szCs w:val="20"/>
              </w:rPr>
              <w:t xml:space="preserve">Q: </w:t>
            </w:r>
            <w:r>
              <w:rPr>
                <w:rFonts w:ascii="Arial" w:cs="Arial" w:eastAsia="Arial" w:hAnsi="Arial"/>
                <w:b/>
                <w:bCs/>
                <w:color w:val="1A1A1A"/>
                <w:sz w:val="20"/>
                <w:szCs w:val="20"/>
              </w:rPr>
              <w:t xml:space="preserve">What are AGIC annotations and how do they work?</w:t>
            </w:r>
          </w:p>
        </w:tc>
      </w:tr>
      <w:tr>
        <w:tc>
          <w:tcPr>
            <w:tcW w:type="dxa" w:w="9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88A"/>
                <w:sz w:val="20"/>
                <w:szCs w:val="20"/>
              </w:rPr>
              <w:t xml:space="preserve">A: </w:t>
            </w:r>
            <w:r>
              <w:rPr>
                <w:rFonts w:ascii="Arial" w:cs="Arial" w:eastAsia="Arial" w:hAnsi="Arial"/>
                <w:color w:val="1A1A1A"/>
                <w:sz w:val="20"/>
                <w:szCs w:val="20"/>
              </w:rPr>
              <w:t xml:space="preserve">AGIC annotations are Kubernetes Ingress metadata keys (e.g., appgw.ingress.kubernetes.io/ssl-redirect) that map to specific App Gateway configuration settings. AGIC reads these annotations when it processes the Ingress resource and translates them into the corresponding ARM API calls on the App Gateway. They're the primary mechanism to control App Gateway behavior from within the cluster without touching Terraform.</w:t>
            </w:r>
          </w:p>
        </w:tc>
      </w:tr>
    </w:tbl>
    <w:p>
      <w:pPr>
        <w:spacing w:after="0" w:before="200"/>
      </w:pPr>
      <w:r>
        <w:t xml:space="preserve"/>
      </w:r>
    </w:p>
    <w:p>
      <w:pPr>
        <w:pStyle w:val="Heading1"/>
        <w:pBdr>
          <w:bottom w:val="single" w:color="0078D4" w:sz="8" w:space="4"/>
        </w:pBdr>
        <w:spacing w:after="160" w:before="400"/>
      </w:pPr>
      <w:r>
        <w:rPr>
          <w:rFonts w:ascii="Arial" w:cs="Arial" w:eastAsia="Arial" w:hAnsi="Arial"/>
          <w:b/>
          <w:bCs/>
          <w:color w:val="0078D4"/>
          <w:sz w:val="36"/>
          <w:szCs w:val="36"/>
        </w:rPr>
        <w:t xml:space="preserve">7. Interview Tips &amp; Final Checklist</w:t>
      </w:r>
    </w:p>
    <w:p>
      <w:pPr>
        <w:pStyle w:val="Heading2"/>
        <w:pBdr>
          <w:bottom w:val="single" w:color="D0EFF3" w:sz="4" w:space="2"/>
        </w:pBdr>
        <w:spacing w:after="120" w:before="300"/>
      </w:pPr>
      <w:r>
        <w:rPr>
          <w:rFonts w:ascii="Arial" w:cs="Arial" w:eastAsia="Arial" w:hAnsi="Arial"/>
          <w:b/>
          <w:bCs/>
          <w:color w:val="00788A"/>
          <w:sz w:val="28"/>
          <w:szCs w:val="28"/>
        </w:rPr>
        <w:t xml:space="preserve">Key Interview Tips for Senior DevOps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078D4" w:val="clear"/>
            <w:tcMar>
              <w:top w:type="dxa" w:w="80"/>
              <w:left w:type="dxa" w:w="160"/>
              <w:bottom w:type="dxa" w:w="80"/>
              <w:right w:type="dxa" w:w="160"/>
            </w:tcMar>
          </w:tcPr>
          <w:p>
            <w:r>
              <w:rPr>
                <w:rFonts w:ascii="Arial" w:cs="Arial" w:eastAsia="Arial" w:hAnsi="Arial"/>
                <w:b/>
                <w:bCs/>
                <w:color w:val="FFFFFF"/>
                <w:sz w:val="22"/>
                <w:szCs w:val="22"/>
              </w:rPr>
              <w:t xml:space="preserve">Tips to Stand Out in Interviews</w:t>
            </w:r>
          </w:p>
        </w:tc>
      </w:tr>
      <w:tr>
        <w:tc>
          <w:tcPr>
            <w:tcW w:type="dxa" w:w="9200"/>
            <w:tcBorders>
              <w:top w:val="none"/>
              <w:left w:val="none"/>
              <w:bottom w:val="none"/>
              <w:right w:val="none"/>
            </w:tcBorders>
            <w:shd w:fill="D0EFF3" w:val="clear"/>
            <w:tcMar>
              <w:top w:type="dxa" w:w="40"/>
              <w:left w:type="dxa" w:w="200"/>
              <w:bottom w:type="dxa" w:w="40"/>
              <w:right w:type="dxa" w:w="160"/>
            </w:tcMar>
          </w:tcPr>
          <w:p>
            <w:pPr>
              <w:pStyle w:val="ListParagraph"/>
              <w:numPr>
                <w:ilvl w:val="0"/>
                <w:numId w:val="3"/>
              </w:numPr>
            </w:pPr>
            <w:r>
              <w:rPr>
                <w:rFonts w:ascii="Arial" w:cs="Arial" w:eastAsia="Arial" w:hAnsi="Arial"/>
                <w:color w:val="1A1A1A"/>
                <w:sz w:val="20"/>
                <w:szCs w:val="20"/>
              </w:rPr>
              <w:t xml:space="preserve">Always mention the WHY: e.g., 'We chose AGIC over nginx-ingress to reduce operational overhead and leverage Azure-native WAF integration'</w:t>
            </w:r>
          </w:p>
        </w:tc>
      </w:tr>
      <w:tr>
        <w:tc>
          <w:tcPr>
            <w:tcW w:type="dxa" w:w="9200"/>
            <w:tcBorders>
              <w:top w:val="none"/>
              <w:left w:val="none"/>
              <w:bottom w:val="none"/>
              <w:right w:val="none"/>
            </w:tcBorders>
            <w:shd w:fill="D0EFF3" w:val="clear"/>
            <w:tcMar>
              <w:top w:type="dxa" w:w="40"/>
              <w:left w:type="dxa" w:w="200"/>
              <w:bottom w:type="dxa" w:w="40"/>
              <w:right w:type="dxa" w:w="160"/>
            </w:tcMar>
          </w:tcPr>
          <w:p>
            <w:pPr>
              <w:pStyle w:val="ListParagraph"/>
              <w:numPr>
                <w:ilvl w:val="0"/>
                <w:numId w:val="3"/>
              </w:numPr>
            </w:pPr>
            <w:r>
              <w:rPr>
                <w:rFonts w:ascii="Arial" w:cs="Arial" w:eastAsia="Arial" w:hAnsi="Arial"/>
                <w:color w:val="1A1A1A"/>
                <w:sz w:val="20"/>
                <w:szCs w:val="20"/>
              </w:rPr>
              <w:t xml:space="preserve">Speak to tradeoffs: Front Door vs App Gateway, add-on AGIC vs Helm AGIC, managed cert vs BYO cert</w:t>
            </w:r>
          </w:p>
        </w:tc>
      </w:tr>
      <w:tr>
        <w:tc>
          <w:tcPr>
            <w:tcW w:type="dxa" w:w="9200"/>
            <w:tcBorders>
              <w:top w:val="none"/>
              <w:left w:val="none"/>
              <w:bottom w:val="none"/>
              <w:right w:val="none"/>
            </w:tcBorders>
            <w:shd w:fill="D0EFF3" w:val="clear"/>
            <w:tcMar>
              <w:top w:type="dxa" w:w="40"/>
              <w:left w:type="dxa" w:w="200"/>
              <w:bottom w:type="dxa" w:w="40"/>
              <w:right w:type="dxa" w:w="160"/>
            </w:tcMar>
          </w:tcPr>
          <w:p>
            <w:pPr>
              <w:pStyle w:val="ListParagraph"/>
              <w:numPr>
                <w:ilvl w:val="0"/>
                <w:numId w:val="3"/>
              </w:numPr>
            </w:pPr>
            <w:r>
              <w:rPr>
                <w:rFonts w:ascii="Arial" w:cs="Arial" w:eastAsia="Arial" w:hAnsi="Arial"/>
                <w:color w:val="1A1A1A"/>
                <w:sz w:val="20"/>
                <w:szCs w:val="20"/>
              </w:rPr>
              <w:t xml:space="preserve">Reference IaC (Terraform): state management (remote state in Azure blob), modularization, lifecycle policies</w:t>
            </w:r>
          </w:p>
        </w:tc>
      </w:tr>
      <w:tr>
        <w:tc>
          <w:tcPr>
            <w:tcW w:type="dxa" w:w="9200"/>
            <w:tcBorders>
              <w:top w:val="none"/>
              <w:left w:val="none"/>
              <w:bottom w:val="none"/>
              <w:right w:val="none"/>
            </w:tcBorders>
            <w:shd w:fill="D0EFF3" w:val="clear"/>
            <w:tcMar>
              <w:top w:type="dxa" w:w="40"/>
              <w:left w:type="dxa" w:w="200"/>
              <w:bottom w:type="dxa" w:w="40"/>
              <w:right w:type="dxa" w:w="160"/>
            </w:tcMar>
          </w:tcPr>
          <w:p>
            <w:pPr>
              <w:pStyle w:val="ListParagraph"/>
              <w:numPr>
                <w:ilvl w:val="0"/>
                <w:numId w:val="3"/>
              </w:numPr>
            </w:pPr>
            <w:r>
              <w:rPr>
                <w:rFonts w:ascii="Arial" w:cs="Arial" w:eastAsia="Arial" w:hAnsi="Arial"/>
                <w:color w:val="1A1A1A"/>
                <w:sz w:val="20"/>
                <w:szCs w:val="20"/>
              </w:rPr>
              <w:t xml:space="preserve">Mention observability: App Gateway access logs → Log Analytics, Front Door diagnostics, AGIC controller logs</w:t>
            </w:r>
          </w:p>
        </w:tc>
      </w:tr>
      <w:tr>
        <w:tc>
          <w:tcPr>
            <w:tcW w:type="dxa" w:w="9200"/>
            <w:tcBorders>
              <w:top w:val="none"/>
              <w:left w:val="none"/>
              <w:bottom w:val="none"/>
              <w:right w:val="none"/>
            </w:tcBorders>
            <w:shd w:fill="D0EFF3" w:val="clear"/>
            <w:tcMar>
              <w:top w:type="dxa" w:w="40"/>
              <w:left w:type="dxa" w:w="200"/>
              <w:bottom w:type="dxa" w:w="40"/>
              <w:right w:type="dxa" w:w="160"/>
            </w:tcMar>
          </w:tcPr>
          <w:p>
            <w:pPr>
              <w:pStyle w:val="ListParagraph"/>
              <w:numPr>
                <w:ilvl w:val="0"/>
                <w:numId w:val="3"/>
              </w:numPr>
            </w:pPr>
            <w:r>
              <w:rPr>
                <w:rFonts w:ascii="Arial" w:cs="Arial" w:eastAsia="Arial" w:hAnsi="Arial"/>
                <w:color w:val="1A1A1A"/>
                <w:sz w:val="20"/>
                <w:szCs w:val="20"/>
              </w:rPr>
              <w:t xml:space="preserve">Show security awareness: Managed Identity over service principals, Key Vault for certs/secrets, WAF in Prevention mode</w:t>
            </w:r>
          </w:p>
        </w:tc>
      </w:tr>
      <w:tr>
        <w:tc>
          <w:tcPr>
            <w:tcW w:type="dxa" w:w="9200"/>
            <w:tcBorders>
              <w:top w:val="none"/>
              <w:left w:val="none"/>
              <w:bottom w:val="none"/>
              <w:right w:val="none"/>
            </w:tcBorders>
            <w:shd w:fill="D0EFF3" w:val="clear"/>
            <w:tcMar>
              <w:top w:type="dxa" w:w="40"/>
              <w:left w:type="dxa" w:w="200"/>
              <w:bottom w:type="dxa" w:w="40"/>
              <w:right w:type="dxa" w:w="160"/>
            </w:tcMar>
          </w:tcPr>
          <w:p>
            <w:pPr>
              <w:pStyle w:val="ListParagraph"/>
              <w:numPr>
                <w:ilvl w:val="0"/>
                <w:numId w:val="3"/>
              </w:numPr>
            </w:pPr>
            <w:r>
              <w:rPr>
                <w:rFonts w:ascii="Arial" w:cs="Arial" w:eastAsia="Arial" w:hAnsi="Arial"/>
                <w:color w:val="1A1A1A"/>
                <w:sz w:val="20"/>
                <w:szCs w:val="20"/>
              </w:rPr>
              <w:t xml:space="preserve">Discuss DR: Front Door multi-origin with priority failover, App Gateway zone redundancy, AKS availability zones</w:t>
            </w:r>
          </w:p>
        </w:tc>
      </w:tr>
    </w:tbl>
    <w:p>
      <w:pPr>
        <w:spacing w:after="0" w:before="80"/>
      </w:pPr>
      <w:r>
        <w:t xml:space="preserve"/>
      </w:r>
    </w:p>
    <w:p>
      <w:pPr>
        <w:pStyle w:val="Heading2"/>
        <w:pBdr>
          <w:bottom w:val="single" w:color="D0EFF3" w:sz="4" w:space="2"/>
        </w:pBdr>
        <w:spacing w:after="120" w:before="300"/>
      </w:pPr>
      <w:r>
        <w:rPr>
          <w:rFonts w:ascii="Arial" w:cs="Arial" w:eastAsia="Arial" w:hAnsi="Arial"/>
          <w:b/>
          <w:bCs/>
          <w:color w:val="00788A"/>
          <w:sz w:val="28"/>
          <w:szCs w:val="28"/>
        </w:rPr>
        <w:t xml:space="preserve">Common Terraform Gotchas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620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AGIC conflicts with manually set App GW backend pools</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Let AGIC own all backend pool config; set ignore_changes on backend pools in TF</w:t>
            </w:r>
          </w:p>
        </w:tc>
      </w:tr>
      <w:tr>
        <w:tc>
          <w:tcPr>
            <w:tcW w:type="dxa" w:w="3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DNS validation token not ready before TXT record apply</w:t>
            </w:r>
          </w:p>
        </w:tc>
        <w:tc>
          <w:tcPr>
            <w:tcW w:type="dxa" w:w="6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Use depends_on or two-phase apply: create domain first, then TXT record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App Service Domain billing charge on TF apply</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Use lifecycle prevent_destroy + terraform plan review before any apply</w:t>
            </w:r>
          </w:p>
        </w:tc>
      </w:tr>
      <w:tr>
        <w:tc>
          <w:tcPr>
            <w:tcW w:type="dxa" w:w="3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App Gateway subnet too small</w:t>
            </w:r>
          </w:p>
        </w:tc>
        <w:tc>
          <w:tcPr>
            <w:tcW w:type="dxa" w:w="6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Plan /24 minimum; /28 is absolute minimum but blocks autoscaling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azurerm_dns_cname_record at zone apex (@)</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Use azurerm_dns_a_record with target_resource_id (alias) instead</w:t>
            </w:r>
          </w:p>
        </w:tc>
      </w:tr>
      <w:tr>
        <w:tc>
          <w:tcPr>
            <w:tcW w:type="dxa" w:w="3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AGIC loses App GW state after cluster recreation</w:t>
            </w:r>
          </w:p>
        </w:tc>
        <w:tc>
          <w:tcPr>
            <w:tcW w:type="dxa" w:w="6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Use existing App GW (not AGIC-managed), reference by ID in add-on config</w:t>
            </w:r>
          </w:p>
        </w:tc>
      </w:tr>
    </w:tbl>
    <w:p>
      <w:pPr>
        <w:spacing w:after="0" w:before="80"/>
      </w:pPr>
      <w:r>
        <w:t xml:space="preserve"/>
      </w:r>
    </w:p>
    <w:p>
      <w:pPr>
        <w:pStyle w:val="Heading2"/>
        <w:pBdr>
          <w:bottom w:val="single" w:color="D0EFF3" w:sz="4" w:space="2"/>
        </w:pBdr>
        <w:spacing w:after="120" w:before="300"/>
      </w:pPr>
      <w:r>
        <w:rPr>
          <w:rFonts w:ascii="Arial" w:cs="Arial" w:eastAsia="Arial" w:hAnsi="Arial"/>
          <w:b/>
          <w:bCs/>
          <w:color w:val="00788A"/>
          <w:sz w:val="28"/>
          <w:szCs w:val="28"/>
        </w:rPr>
        <w:t xml:space="preserve">End-to-End Deployment Order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078D4" w:val="clear"/>
            <w:tcMar>
              <w:top w:type="dxa" w:w="80"/>
              <w:left w:type="dxa" w:w="160"/>
              <w:bottom w:type="dxa" w:w="80"/>
              <w:right w:type="dxa" w:w="160"/>
            </w:tcMar>
          </w:tcPr>
          <w:p>
            <w:r>
              <w:rPr>
                <w:rFonts w:ascii="Arial" w:cs="Arial" w:eastAsia="Arial" w:hAnsi="Arial"/>
                <w:b/>
                <w:bCs/>
                <w:color w:val="FFFFFF"/>
                <w:sz w:val="22"/>
                <w:szCs w:val="22"/>
              </w:rPr>
              <w:t xml:space="preserve">Deployment Sequence (follow this order)</w:t>
            </w:r>
          </w:p>
        </w:tc>
      </w:tr>
      <w:tr>
        <w:tc>
          <w:tcPr>
            <w:tcW w:type="dxa" w:w="9200"/>
            <w:tcBorders>
              <w:top w:val="none"/>
              <w:left w:val="none"/>
              <w:bottom w:val="none"/>
              <w:right w:val="none"/>
            </w:tcBorders>
            <w:shd w:fill="DFF0DF" w:val="clear"/>
            <w:tcMar>
              <w:top w:type="dxa" w:w="40"/>
              <w:left w:type="dxa" w:w="200"/>
              <w:bottom w:type="dxa" w:w="40"/>
              <w:right w:type="dxa" w:w="160"/>
            </w:tcMar>
          </w:tcPr>
          <w:p>
            <w:pPr>
              <w:pStyle w:val="ListParagraph"/>
              <w:numPr>
                <w:ilvl w:val="0"/>
                <w:numId w:val="3"/>
              </w:numPr>
            </w:pPr>
            <w:r>
              <w:rPr>
                <w:rFonts w:ascii="Arial" w:cs="Arial" w:eastAsia="Arial" w:hAnsi="Arial"/>
                <w:color w:val="1A1A1A"/>
                <w:sz w:val="20"/>
                <w:szCs w:val="20"/>
              </w:rPr>
              <w:t xml:space="preserve">1. Create Resource Group and VNet with subnets (App GW subnet, AKS subnet)</w:t>
            </w:r>
          </w:p>
        </w:tc>
      </w:tr>
      <w:tr>
        <w:tc>
          <w:tcPr>
            <w:tcW w:type="dxa" w:w="9200"/>
            <w:tcBorders>
              <w:top w:val="none"/>
              <w:left w:val="none"/>
              <w:bottom w:val="none"/>
              <w:right w:val="none"/>
            </w:tcBorders>
            <w:shd w:fill="DFF0DF" w:val="clear"/>
            <w:tcMar>
              <w:top w:type="dxa" w:w="40"/>
              <w:left w:type="dxa" w:w="200"/>
              <w:bottom w:type="dxa" w:w="40"/>
              <w:right w:type="dxa" w:w="160"/>
            </w:tcMar>
          </w:tcPr>
          <w:p>
            <w:pPr>
              <w:pStyle w:val="ListParagraph"/>
              <w:numPr>
                <w:ilvl w:val="0"/>
                <w:numId w:val="3"/>
              </w:numPr>
            </w:pPr>
            <w:r>
              <w:rPr>
                <w:rFonts w:ascii="Arial" w:cs="Arial" w:eastAsia="Arial" w:hAnsi="Arial"/>
                <w:color w:val="1A1A1A"/>
                <w:sz w:val="20"/>
                <w:szCs w:val="20"/>
              </w:rPr>
              <w:t xml:space="preserve">2. Create Azure DNS Zone → note nameservers → update registrar</w:t>
            </w:r>
          </w:p>
        </w:tc>
      </w:tr>
      <w:tr>
        <w:tc>
          <w:tcPr>
            <w:tcW w:type="dxa" w:w="9200"/>
            <w:tcBorders>
              <w:top w:val="none"/>
              <w:left w:val="none"/>
              <w:bottom w:val="none"/>
              <w:right w:val="none"/>
            </w:tcBorders>
            <w:shd w:fill="DFF0DF" w:val="clear"/>
            <w:tcMar>
              <w:top w:type="dxa" w:w="40"/>
              <w:left w:type="dxa" w:w="200"/>
              <w:bottom w:type="dxa" w:w="40"/>
              <w:right w:type="dxa" w:w="160"/>
            </w:tcMar>
          </w:tcPr>
          <w:p>
            <w:pPr>
              <w:pStyle w:val="ListParagraph"/>
              <w:numPr>
                <w:ilvl w:val="0"/>
                <w:numId w:val="3"/>
              </w:numPr>
            </w:pPr>
            <w:r>
              <w:rPr>
                <w:rFonts w:ascii="Arial" w:cs="Arial" w:eastAsia="Arial" w:hAnsi="Arial"/>
                <w:color w:val="1A1A1A"/>
                <w:sz w:val="20"/>
                <w:szCs w:val="20"/>
              </w:rPr>
              <w:t xml:space="preserve">3. Purchase App Service Domain OR delegate external domain to Azure DNS</w:t>
            </w:r>
          </w:p>
        </w:tc>
      </w:tr>
      <w:tr>
        <w:tc>
          <w:tcPr>
            <w:tcW w:type="dxa" w:w="9200"/>
            <w:tcBorders>
              <w:top w:val="none"/>
              <w:left w:val="none"/>
              <w:bottom w:val="none"/>
              <w:right w:val="none"/>
            </w:tcBorders>
            <w:shd w:fill="DFF0DF" w:val="clear"/>
            <w:tcMar>
              <w:top w:type="dxa" w:w="40"/>
              <w:left w:type="dxa" w:w="200"/>
              <w:bottom w:type="dxa" w:w="40"/>
              <w:right w:type="dxa" w:w="160"/>
            </w:tcMar>
          </w:tcPr>
          <w:p>
            <w:pPr>
              <w:pStyle w:val="ListParagraph"/>
              <w:numPr>
                <w:ilvl w:val="0"/>
                <w:numId w:val="3"/>
              </w:numPr>
            </w:pPr>
            <w:r>
              <w:rPr>
                <w:rFonts w:ascii="Arial" w:cs="Arial" w:eastAsia="Arial" w:hAnsi="Arial"/>
                <w:color w:val="1A1A1A"/>
                <w:sz w:val="20"/>
                <w:szCs w:val="20"/>
              </w:rPr>
              <w:t xml:space="preserve">4. Create User Assigned Managed Identity for AGIC</w:t>
            </w:r>
          </w:p>
        </w:tc>
      </w:tr>
      <w:tr>
        <w:tc>
          <w:tcPr>
            <w:tcW w:type="dxa" w:w="9200"/>
            <w:tcBorders>
              <w:top w:val="none"/>
              <w:left w:val="none"/>
              <w:bottom w:val="none"/>
              <w:right w:val="none"/>
            </w:tcBorders>
            <w:shd w:fill="DFF0DF" w:val="clear"/>
            <w:tcMar>
              <w:top w:type="dxa" w:w="40"/>
              <w:left w:type="dxa" w:w="200"/>
              <w:bottom w:type="dxa" w:w="40"/>
              <w:right w:type="dxa" w:w="160"/>
            </w:tcMar>
          </w:tcPr>
          <w:p>
            <w:pPr>
              <w:pStyle w:val="ListParagraph"/>
              <w:numPr>
                <w:ilvl w:val="0"/>
                <w:numId w:val="3"/>
              </w:numPr>
            </w:pPr>
            <w:r>
              <w:rPr>
                <w:rFonts w:ascii="Arial" w:cs="Arial" w:eastAsia="Arial" w:hAnsi="Arial"/>
                <w:color w:val="1A1A1A"/>
                <w:sz w:val="20"/>
                <w:szCs w:val="20"/>
              </w:rPr>
              <w:t xml:space="preserve">5. Create Application Gateway (WAF_v2) with managed identity</w:t>
            </w:r>
          </w:p>
        </w:tc>
      </w:tr>
      <w:tr>
        <w:tc>
          <w:tcPr>
            <w:tcW w:type="dxa" w:w="9200"/>
            <w:tcBorders>
              <w:top w:val="none"/>
              <w:left w:val="none"/>
              <w:bottom w:val="none"/>
              <w:right w:val="none"/>
            </w:tcBorders>
            <w:shd w:fill="DFF0DF" w:val="clear"/>
            <w:tcMar>
              <w:top w:type="dxa" w:w="40"/>
              <w:left w:type="dxa" w:w="200"/>
              <w:bottom w:type="dxa" w:w="40"/>
              <w:right w:type="dxa" w:w="160"/>
            </w:tcMar>
          </w:tcPr>
          <w:p>
            <w:pPr>
              <w:pStyle w:val="ListParagraph"/>
              <w:numPr>
                <w:ilvl w:val="0"/>
                <w:numId w:val="3"/>
              </w:numPr>
            </w:pPr>
            <w:r>
              <w:rPr>
                <w:rFonts w:ascii="Arial" w:cs="Arial" w:eastAsia="Arial" w:hAnsi="Arial"/>
                <w:color w:val="1A1A1A"/>
                <w:sz w:val="20"/>
                <w:szCs w:val="20"/>
              </w:rPr>
              <w:t xml:space="preserve">6. Create AKS cluster with Azure CNI and ingress-appgw add-on referencing App GW ID</w:t>
            </w:r>
          </w:p>
        </w:tc>
      </w:tr>
      <w:tr>
        <w:tc>
          <w:tcPr>
            <w:tcW w:type="dxa" w:w="9200"/>
            <w:tcBorders>
              <w:top w:val="none"/>
              <w:left w:val="none"/>
              <w:bottom w:val="none"/>
              <w:right w:val="none"/>
            </w:tcBorders>
            <w:shd w:fill="DFF0DF" w:val="clear"/>
            <w:tcMar>
              <w:top w:type="dxa" w:w="40"/>
              <w:left w:type="dxa" w:w="200"/>
              <w:bottom w:type="dxa" w:w="40"/>
              <w:right w:type="dxa" w:w="160"/>
            </w:tcMar>
          </w:tcPr>
          <w:p>
            <w:pPr>
              <w:pStyle w:val="ListParagraph"/>
              <w:numPr>
                <w:ilvl w:val="0"/>
                <w:numId w:val="3"/>
              </w:numPr>
            </w:pPr>
            <w:r>
              <w:rPr>
                <w:rFonts w:ascii="Arial" w:cs="Arial" w:eastAsia="Arial" w:hAnsi="Arial"/>
                <w:color w:val="1A1A1A"/>
                <w:sz w:val="20"/>
                <w:szCs w:val="20"/>
              </w:rPr>
              <w:t xml:space="preserve">7. Assign RBAC roles (AGIC identity: Contributor on App GW, Reader on RG)</w:t>
            </w:r>
          </w:p>
        </w:tc>
      </w:tr>
      <w:tr>
        <w:tc>
          <w:tcPr>
            <w:tcW w:type="dxa" w:w="9200"/>
            <w:tcBorders>
              <w:top w:val="none"/>
              <w:left w:val="none"/>
              <w:bottom w:val="none"/>
              <w:right w:val="none"/>
            </w:tcBorders>
            <w:shd w:fill="DFF0DF" w:val="clear"/>
            <w:tcMar>
              <w:top w:type="dxa" w:w="40"/>
              <w:left w:type="dxa" w:w="200"/>
              <w:bottom w:type="dxa" w:w="40"/>
              <w:right w:type="dxa" w:w="160"/>
            </w:tcMar>
          </w:tcPr>
          <w:p>
            <w:pPr>
              <w:pStyle w:val="ListParagraph"/>
              <w:numPr>
                <w:ilvl w:val="0"/>
                <w:numId w:val="3"/>
              </w:numPr>
            </w:pPr>
            <w:r>
              <w:rPr>
                <w:rFonts w:ascii="Arial" w:cs="Arial" w:eastAsia="Arial" w:hAnsi="Arial"/>
                <w:color w:val="1A1A1A"/>
                <w:sz w:val="20"/>
                <w:szCs w:val="20"/>
              </w:rPr>
              <w:t xml:space="preserve">8. Create Front Door Profile, Origin Group (pointing to App GW FQDN), Route</w:t>
            </w:r>
          </w:p>
        </w:tc>
      </w:tr>
      <w:tr>
        <w:tc>
          <w:tcPr>
            <w:tcW w:type="dxa" w:w="9200"/>
            <w:tcBorders>
              <w:top w:val="none"/>
              <w:left w:val="none"/>
              <w:bottom w:val="none"/>
              <w:right w:val="none"/>
            </w:tcBorders>
            <w:shd w:fill="DFF0DF" w:val="clear"/>
            <w:tcMar>
              <w:top w:type="dxa" w:w="40"/>
              <w:left w:type="dxa" w:w="200"/>
              <w:bottom w:type="dxa" w:w="40"/>
              <w:right w:type="dxa" w:w="160"/>
            </w:tcMar>
          </w:tcPr>
          <w:p>
            <w:pPr>
              <w:pStyle w:val="ListParagraph"/>
              <w:numPr>
                <w:ilvl w:val="0"/>
                <w:numId w:val="3"/>
              </w:numPr>
            </w:pPr>
            <w:r>
              <w:rPr>
                <w:rFonts w:ascii="Arial" w:cs="Arial" w:eastAsia="Arial" w:hAnsi="Arial"/>
                <w:color w:val="1A1A1A"/>
                <w:sz w:val="20"/>
                <w:szCs w:val="20"/>
              </w:rPr>
              <w:t xml:space="preserve">9. Add Custom Domain to Front Door → add TXT record in DNS Zone → wait for validation</w:t>
            </w:r>
          </w:p>
        </w:tc>
      </w:tr>
      <w:tr>
        <w:tc>
          <w:tcPr>
            <w:tcW w:type="dxa" w:w="9200"/>
            <w:tcBorders>
              <w:top w:val="none"/>
              <w:left w:val="none"/>
              <w:bottom w:val="none"/>
              <w:right w:val="none"/>
            </w:tcBorders>
            <w:shd w:fill="DFF0DF" w:val="clear"/>
            <w:tcMar>
              <w:top w:type="dxa" w:w="40"/>
              <w:left w:type="dxa" w:w="200"/>
              <w:bottom w:type="dxa" w:w="40"/>
              <w:right w:type="dxa" w:w="160"/>
            </w:tcMar>
          </w:tcPr>
          <w:p>
            <w:pPr>
              <w:pStyle w:val="ListParagraph"/>
              <w:numPr>
                <w:ilvl w:val="0"/>
                <w:numId w:val="3"/>
              </w:numPr>
            </w:pPr>
            <w:r>
              <w:rPr>
                <w:rFonts w:ascii="Arial" w:cs="Arial" w:eastAsia="Arial" w:hAnsi="Arial"/>
                <w:color w:val="1A1A1A"/>
                <w:sz w:val="20"/>
                <w:szCs w:val="20"/>
              </w:rPr>
              <w:t xml:space="preserve">10. Deploy application workloads: Namespace, Deployment, Service, HPA, PDB</w:t>
            </w:r>
          </w:p>
        </w:tc>
      </w:tr>
      <w:tr>
        <w:tc>
          <w:tcPr>
            <w:tcW w:type="dxa" w:w="9200"/>
            <w:tcBorders>
              <w:top w:val="none"/>
              <w:left w:val="none"/>
              <w:bottom w:val="none"/>
              <w:right w:val="none"/>
            </w:tcBorders>
            <w:shd w:fill="DFF0DF" w:val="clear"/>
            <w:tcMar>
              <w:top w:type="dxa" w:w="40"/>
              <w:left w:type="dxa" w:w="200"/>
              <w:bottom w:type="dxa" w:w="40"/>
              <w:right w:type="dxa" w:w="160"/>
            </w:tcMar>
          </w:tcPr>
          <w:p>
            <w:pPr>
              <w:pStyle w:val="ListParagraph"/>
              <w:numPr>
                <w:ilvl w:val="0"/>
                <w:numId w:val="3"/>
              </w:numPr>
            </w:pPr>
            <w:r>
              <w:rPr>
                <w:rFonts w:ascii="Arial" w:cs="Arial" w:eastAsia="Arial" w:hAnsi="Arial"/>
                <w:color w:val="1A1A1A"/>
                <w:sz w:val="20"/>
                <w:szCs w:val="20"/>
              </w:rPr>
              <w:t xml:space="preserve">11. Apply Ingress resource with AGIC annotations → verify App GW backend health</w:t>
            </w:r>
          </w:p>
        </w:tc>
      </w:tr>
      <w:tr>
        <w:tc>
          <w:tcPr>
            <w:tcW w:type="dxa" w:w="9200"/>
            <w:tcBorders>
              <w:top w:val="none"/>
              <w:left w:val="none"/>
              <w:bottom w:val="none"/>
              <w:right w:val="none"/>
            </w:tcBorders>
            <w:shd w:fill="DFF0DF" w:val="clear"/>
            <w:tcMar>
              <w:top w:type="dxa" w:w="40"/>
              <w:left w:type="dxa" w:w="200"/>
              <w:bottom w:type="dxa" w:w="40"/>
              <w:right w:type="dxa" w:w="160"/>
            </w:tcMar>
          </w:tcPr>
          <w:p>
            <w:pPr>
              <w:pStyle w:val="ListParagraph"/>
              <w:numPr>
                <w:ilvl w:val="0"/>
                <w:numId w:val="3"/>
              </w:numPr>
            </w:pPr>
            <w:r>
              <w:rPr>
                <w:rFonts w:ascii="Arial" w:cs="Arial" w:eastAsia="Arial" w:hAnsi="Arial"/>
                <w:color w:val="1A1A1A"/>
                <w:sz w:val="20"/>
                <w:szCs w:val="20"/>
              </w:rPr>
              <w:t xml:space="preserve">12. Add CNAME in DNS Zone (app.yourdomain.com → Front Door endpoint FQDN)</w:t>
            </w:r>
          </w:p>
        </w:tc>
      </w:tr>
      <w:tr>
        <w:tc>
          <w:tcPr>
            <w:tcW w:type="dxa" w:w="9200"/>
            <w:tcBorders>
              <w:top w:val="none"/>
              <w:left w:val="none"/>
              <w:bottom w:val="none"/>
              <w:right w:val="none"/>
            </w:tcBorders>
            <w:shd w:fill="DFF0DF" w:val="clear"/>
            <w:tcMar>
              <w:top w:type="dxa" w:w="40"/>
              <w:left w:type="dxa" w:w="200"/>
              <w:bottom w:type="dxa" w:w="40"/>
              <w:right w:type="dxa" w:w="160"/>
            </w:tcMar>
          </w:tcPr>
          <w:p>
            <w:pPr>
              <w:pStyle w:val="ListParagraph"/>
              <w:numPr>
                <w:ilvl w:val="0"/>
                <w:numId w:val="3"/>
              </w:numPr>
            </w:pPr>
            <w:r>
              <w:rPr>
                <w:rFonts w:ascii="Arial" w:cs="Arial" w:eastAsia="Arial" w:hAnsi="Arial"/>
                <w:color w:val="1A1A1A"/>
                <w:sz w:val="20"/>
                <w:szCs w:val="20"/>
              </w:rPr>
              <w:t xml:space="preserve">13. Test end-to-end: curl https://app.yourdomain.com → verify 200 OK</w:t>
            </w:r>
          </w:p>
        </w:tc>
      </w:tr>
    </w:tbl>
    <w:p>
      <w:pPr>
        <w:spacing w:after="0" w:before="80"/>
      </w:pPr>
      <w:r>
        <w:t xml:space="preserve"/>
      </w:r>
    </w:p>
    <w:p>
      <w:pPr>
        <w:pStyle w:val="Heading2"/>
        <w:pBdr>
          <w:bottom w:val="single" w:color="D0EFF3" w:sz="4" w:space="2"/>
        </w:pBdr>
        <w:spacing w:after="120" w:before="300"/>
      </w:pPr>
      <w:r>
        <w:rPr>
          <w:rFonts w:ascii="Arial" w:cs="Arial" w:eastAsia="Arial" w:hAnsi="Arial"/>
          <w:b/>
          <w:bCs/>
          <w:color w:val="00788A"/>
          <w:sz w:val="28"/>
          <w:szCs w:val="28"/>
        </w:rPr>
        <w:t xml:space="preserve">Monitoring &amp; Observability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00"/>
      </w:tblGrid>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Check AGIC controller logs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kubectl logs -n kube-system -l app=ingress-azure --tail=100 -f</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Check Ingress status – should show App GW public IP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kubectl get ingress -n myapp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Describe Ingress for events/errors</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kubectl describe ingress myapp-ingress -n myapp</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Check App Gateway backend health in Azure CLI</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az network application-gateway show-backend-health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--name appgw-myapp-prod \</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--resource-group rg-custom-domain</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Check DNS propagation</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nslookup app.myapp.com 8.8.8.8</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dig app.myapp.com CNAME +short</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 Verify TLS certificate</w:t>
            </w:r>
          </w:p>
        </w:tc>
      </w:tr>
      <w:tr>
        <w:tc>
          <w:tcPr>
            <w:tcW w:type="dxa" w:w="9200"/>
            <w:tcBorders>
              <w:top w:val="none"/>
              <w:left w:val="none"/>
              <w:bottom w:val="none"/>
              <w:right w:val="none"/>
            </w:tcBorders>
            <w:shd w:fill="1E1E1E" w:val="clear"/>
            <w:tcMar>
              <w:top w:type="dxa" w:w="0"/>
              <w:left w:type="dxa" w:w="0"/>
              <w:bottom w:type="dxa" w:w="0"/>
              <w:right w:type="dxa" w:w="0"/>
            </w:tcMar>
          </w:tcPr>
          <w:p>
            <w:pPr>
              <w:spacing w:after="0" w:before="0"/>
            </w:pPr>
            <w:r>
              <w:rPr>
                <w:rFonts w:ascii="Courier New" w:cs="Courier New" w:eastAsia="Courier New" w:hAnsi="Courier New"/>
                <w:color w:val="D4D4D4"/>
                <w:sz w:val="18"/>
                <w:szCs w:val="18"/>
              </w:rPr>
              <w:t xml:space="preserve">openssl s_client -connect app.myapp.com:443 -servername app.myapp.com 2&gt;/dev/null | openssl x509 -noout -dates</w:t>
            </w:r>
          </w:p>
        </w:tc>
      </w:tr>
    </w:tbl>
    <w:p>
      <w:pPr>
        <w:spacing w:after="0" w:before="200"/>
      </w:pPr>
      <w:r>
        <w:t xml:space="preserve"/>
      </w:r>
    </w:p>
    <w:p>
      <w:r>
        <w:br w:type="page"/>
      </w:r>
    </w:p>
    <w:p>
      <w:pPr>
        <w:pStyle w:val="Heading1"/>
        <w:pBdr>
          <w:bottom w:val="single" w:color="0078D4" w:sz="8" w:space="4"/>
        </w:pBdr>
        <w:spacing w:after="160" w:before="400"/>
      </w:pPr>
      <w:r>
        <w:rPr>
          <w:rFonts w:ascii="Arial" w:cs="Arial" w:eastAsia="Arial" w:hAnsi="Arial"/>
          <w:b/>
          <w:bCs/>
          <w:color w:val="0078D4"/>
          <w:sz w:val="36"/>
          <w:szCs w:val="36"/>
        </w:rPr>
        <w:t xml:space="preserve">8. DNS Resolution Deep Dive — How example.com Reaches Azure</w:t>
      </w:r>
    </w:p>
    <w:p>
      <w:pPr>
        <w:spacing w:after="60" w:before="60"/>
      </w:pPr>
      <w:r>
        <w:rPr>
          <w:rFonts w:ascii="Arial" w:cs="Arial" w:eastAsia="Arial" w:hAnsi="Arial"/>
          <w:color w:val="1A1A1A"/>
          <w:sz w:val="20"/>
          <w:szCs w:val="20"/>
        </w:rPr>
        <w:t xml:space="preserve">When a user types https://example.com into a browser, a precise chain of DNS lookups happens before a single byte of HTTP is sent. This section walks through every hop — from the local cache on the user's laptop all the way to Azure DNS resolving the CNAME that points to Azure Front Door — and explains the role of each component including NS records.</w:t>
      </w:r>
    </w:p>
    <w:p>
      <w:pPr>
        <w:spacing w:after="0" w:before="100"/>
      </w:pPr>
      <w:r>
        <w:t xml:space="preserve"/>
      </w:r>
    </w:p>
    <w:p>
      <w:pPr>
        <w:pStyle w:val="Heading2"/>
        <w:pBdr>
          <w:bottom w:val="single" w:color="D0EFF3" w:sz="4" w:space="2"/>
        </w:pBdr>
        <w:spacing w:after="120" w:before="300"/>
      </w:pPr>
      <w:r>
        <w:rPr>
          <w:rFonts w:ascii="Arial" w:cs="Arial" w:eastAsia="Arial" w:hAnsi="Arial"/>
          <w:b/>
          <w:bCs/>
          <w:color w:val="00788A"/>
          <w:sz w:val="28"/>
          <w:szCs w:val="28"/>
        </w:rPr>
        <w:t xml:space="preserve">Complete DNS Resolution Flow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USER'S BROWSER  (types: https://example.com)</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Step 1: Check local DNS cache (OS / browser)</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LOCAL CACHE (TTL-based)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OS: /etc/hosts  →  browser cache  →  OS resolver cache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If found &amp; TTL not expired → return IP immediately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MISS → forward to</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RECURSIVE RESOLVER  (ISP / 8.8.8.8 / 1.1.1.1)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Also checks its own cache.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If miss → starts iterative resolution from root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Step 2: Ask Root Servers</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ROOT DNS SERVERS  (13 logical clusters: a–m.root…)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Resolver: 'Who handles .com?'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Root: 'Go ask the .com TLD servers — here are their NS'│</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Returns: NS records for .com TLD servers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e.g.  a.gtld-servers.net, b.gtld-servers.net …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Step 3: Ask .com TLD Server</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.COM TLD SERVERS  (Verisign)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Resolver: 'Who handles example.com?'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TLD: 'Go ask Azure DNS — here are its NS records'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Returns: NS records for example.com zone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e.g.  ns1-01.azure-dns.com   ns2-01.azure-dns.net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ns3-01.azure-dns.org   ns4-01.azure-dns.info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Step 4: Ask Azure DNS (Authoritative)</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AZURE DNS  (Authoritative for example.com)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Resolver: 'What is example.com?'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Azure DNS: returns record based on type: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Option A – Alias (A) record: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example.com  →  A  52.x.x.x  (App GW public IP)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Option B – CNAME record (subdomain):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app.example.com  CNAME  myapp.azurefd.net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Step 5: Resolve CNAME chain</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AZURE FRONT DOOR DNS  (*.azurefd.net zone)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Resolver: 'What is myapp.azurefd.net?'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Returns: Anycast IP of nearest Front Door PoP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e.g.  13.107.246.x  (Microsoft global BGP anycast)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Step 6: IP returned to browser</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BROWSER connects via HTTPS to  13.107.246.x</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HTTPS REQUEST hits Azure Front Door PoP (nearest to user)</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(WAF check, TLS termination, routing rule match)</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Azure Application Gateway  (origin for Front Door)</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(AGIC backend pool → AKS pod IPs)</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AKS Backend Pod  →  HTTP 200 OK  →  response back to user</w:t>
            </w:r>
          </w:p>
        </w:tc>
      </w:tr>
    </w:tbl>
    <w:p>
      <w:pPr>
        <w:spacing w:after="0" w:before="120"/>
      </w:pPr>
      <w:r>
        <w:t xml:space="preserve"/>
      </w:r>
    </w:p>
    <w:p>
      <w:pPr>
        <w:pStyle w:val="Heading2"/>
        <w:pBdr>
          <w:bottom w:val="single" w:color="D0EFF3" w:sz="4" w:space="2"/>
        </w:pBdr>
        <w:spacing w:after="120" w:before="300"/>
      </w:pPr>
      <w:r>
        <w:rPr>
          <w:rFonts w:ascii="Arial" w:cs="Arial" w:eastAsia="Arial" w:hAnsi="Arial"/>
          <w:b/>
          <w:bCs/>
          <w:color w:val="00788A"/>
          <w:sz w:val="28"/>
          <w:szCs w:val="28"/>
        </w:rPr>
        <w:t xml:space="preserve">Step-by-Step Explanation</w:t>
      </w:r>
    </w:p>
    <w:p>
      <w:pPr>
        <w:spacing w:after="0" w:before="60"/>
      </w:pPr>
      <w:r>
        <w:t xml:space="preserve"/>
      </w:r>
    </w:p>
    <w:tbl>
      <w:tblPr>
        <w:tblW w:type="dxa" w:w="9200"/>
        <w:tblBorders>
          <w:top w:val="single" w:color="0078D4" w:sz="2"/>
          <w:left w:val="single" w:color="0078D4" w:sz="2"/>
          <w:bottom w:val="single" w:color="0078D4" w:sz="2"/>
          <w:right w:val="single" w:color="0078D4" w:sz="2"/>
          <w:insideH w:val="single" w:color="auto" w:sz="4"/>
          <w:insideV w:val="single" w:color="auto" w:sz="4"/>
        </w:tblBorders>
      </w:tblPr>
      <w:tblGrid>
        <w:gridCol w:w="900"/>
        <w:gridCol w:w="8300"/>
      </w:tblGrid>
      <w:tr>
        <w:tc>
          <w:tcPr>
            <w:tcW w:type="dxa" w:w="900"/>
            <w:tcBorders>
              <w:top w:val="none"/>
              <w:left w:val="none"/>
              <w:bottom w:val="none"/>
              <w:right w:val="none"/>
            </w:tcBorders>
            <w:shd w:fill="0078D4" w:val="clear"/>
            <w:tcMar>
              <w:top w:type="dxa" w:w="60"/>
              <w:left w:type="dxa" w:w="140"/>
              <w:bottom w:type="dxa" w:w="60"/>
              <w:right w:type="dxa" w:w="140"/>
            </w:tcMar>
            <w:vAlign w:val="center"/>
          </w:tcPr>
          <w:p>
            <w:pPr>
              <w:jc w:val="center"/>
            </w:pPr>
            <w:r>
              <w:rPr>
                <w:rFonts w:ascii="Arial" w:cs="Arial" w:eastAsia="Arial" w:hAnsi="Arial"/>
                <w:b/>
                <w:bCs/>
                <w:color w:val="FFFFFF"/>
                <w:sz w:val="28"/>
                <w:szCs w:val="28"/>
              </w:rPr>
              <w:t xml:space="preserve">1</w:t>
            </w:r>
          </w:p>
        </w:tc>
        <w:tc>
          <w:tcPr>
            <w:tcW w:type="dxa" w:w="8300"/>
            <w:tcBorders>
              <w:top w:val="none"/>
              <w:left w:val="none"/>
              <w:bottom w:val="none"/>
              <w:right w:val="none"/>
            </w:tcBorders>
            <w:shd w:fill="0078D4" w:val="clear"/>
            <w:tcMar>
              <w:top w:type="dxa" w:w="60"/>
              <w:left w:type="dxa" w:w="160"/>
              <w:bottom w:type="dxa" w:w="60"/>
              <w:right w:type="dxa" w:w="160"/>
            </w:tcMar>
          </w:tcPr>
          <w:p>
            <w:r>
              <w:rPr>
                <w:rFonts w:ascii="Arial" w:cs="Arial" w:eastAsia="Arial" w:hAnsi="Arial"/>
                <w:b/>
                <w:bCs/>
                <w:color w:val="FFFFFF"/>
                <w:sz w:val="22"/>
                <w:szCs w:val="22"/>
              </w:rPr>
              <w:t xml:space="preserve">Browser &amp; OS Local Cache Check</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Before any network request, the OS resolver checks multiple local caches in order:</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  1a. Browser's own DNS cache (Chrome: chrome://net-internals/#dns)</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  1b. OS DNS cache — Windows: ipconfig /displaydns | Linux: systemd-resolve --statistics</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  1c. /etc/hosts file (static overrides — highest priority, no TTL)</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If a valid (non-expired) record is found → returns IP immediately, NO network query.</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TTL governs expiry. If TTL = 300s and last lookup was 400s ago → cache miss → go to Step 2.</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Interview tip: 'Why is my DNS change not propagating?' → Almost always stale OS/browser cache or ISP resolver cache.</w:t>
            </w:r>
          </w:p>
        </w:tc>
      </w:tr>
    </w:tbl>
    <w:p>
      <w:pPr>
        <w:spacing w:after="0" w:before="60"/>
      </w:pPr>
      <w:r>
        <w:t xml:space="preserve"/>
      </w:r>
    </w:p>
    <w:tbl>
      <w:tblPr>
        <w:tblW w:type="dxa" w:w="9200"/>
        <w:tblBorders>
          <w:top w:val="single" w:color="00788A" w:sz="2"/>
          <w:left w:val="single" w:color="00788A" w:sz="2"/>
          <w:bottom w:val="single" w:color="00788A" w:sz="2"/>
          <w:right w:val="single" w:color="00788A" w:sz="2"/>
          <w:insideH w:val="single" w:color="auto" w:sz="4"/>
          <w:insideV w:val="single" w:color="auto" w:sz="4"/>
        </w:tblBorders>
      </w:tblPr>
      <w:tblGrid>
        <w:gridCol w:w="900"/>
        <w:gridCol w:w="8300"/>
      </w:tblGrid>
      <w:tr>
        <w:tc>
          <w:tcPr>
            <w:tcW w:type="dxa" w:w="900"/>
            <w:tcBorders>
              <w:top w:val="none"/>
              <w:left w:val="none"/>
              <w:bottom w:val="none"/>
              <w:right w:val="none"/>
            </w:tcBorders>
            <w:shd w:fill="00788A" w:val="clear"/>
            <w:tcMar>
              <w:top w:type="dxa" w:w="60"/>
              <w:left w:type="dxa" w:w="140"/>
              <w:bottom w:type="dxa" w:w="60"/>
              <w:right w:type="dxa" w:w="140"/>
            </w:tcMar>
            <w:vAlign w:val="center"/>
          </w:tcPr>
          <w:p>
            <w:pPr>
              <w:jc w:val="center"/>
            </w:pPr>
            <w:r>
              <w:rPr>
                <w:rFonts w:ascii="Arial" w:cs="Arial" w:eastAsia="Arial" w:hAnsi="Arial"/>
                <w:b/>
                <w:bCs/>
                <w:color w:val="FFFFFF"/>
                <w:sz w:val="28"/>
                <w:szCs w:val="28"/>
              </w:rPr>
              <w:t xml:space="preserve">2</w:t>
            </w:r>
          </w:p>
        </w:tc>
        <w:tc>
          <w:tcPr>
            <w:tcW w:type="dxa" w:w="8300"/>
            <w:tcBorders>
              <w:top w:val="none"/>
              <w:left w:val="none"/>
              <w:bottom w:val="none"/>
              <w:right w:val="none"/>
            </w:tcBorders>
            <w:shd w:fill="00788A" w:val="clear"/>
            <w:tcMar>
              <w:top w:type="dxa" w:w="60"/>
              <w:left w:type="dxa" w:w="160"/>
              <w:bottom w:type="dxa" w:w="60"/>
              <w:right w:type="dxa" w:w="160"/>
            </w:tcMar>
          </w:tcPr>
          <w:p>
            <w:r>
              <w:rPr>
                <w:rFonts w:ascii="Arial" w:cs="Arial" w:eastAsia="Arial" w:hAnsi="Arial"/>
                <w:b/>
                <w:bCs/>
                <w:color w:val="FFFFFF"/>
                <w:sz w:val="22"/>
                <w:szCs w:val="22"/>
              </w:rPr>
              <w:t xml:space="preserve">Recursive Resolver (ISP / Public DNS)</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The OS sends the query to the configured DNS resolver (from DHCP or manual config).</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Common resolvers: ISP resolver | 8.8.8.8 (Google) | 1.1.1.1 (Cloudflare) | 168.63.129.16 (Azure magic IP inside VNets)</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The recursive resolver ALSO has a cache. If it recently resolved example.com → returns from cache.</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If cache miss → the resolver performs ITERATIVE resolution on behalf of the client:</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  It contacts root servers → TLD servers → authoritative servers (the client just waits).</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The resolver is 'recursive' because it does all the work — the client makes ONE query and gets ONE answer.</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Azure VMs always use 168.63.129.16 as the resolver — it's Azure's internal DNS proxy that forwards to Azure DNS.</w:t>
            </w:r>
          </w:p>
        </w:tc>
      </w:tr>
    </w:tbl>
    <w:p>
      <w:pPr>
        <w:spacing w:after="0" w:before="60"/>
      </w:pPr>
      <w:r>
        <w:t xml:space="preserve"/>
      </w:r>
    </w:p>
    <w:tbl>
      <w:tblPr>
        <w:tblW w:type="dxa" w:w="9200"/>
        <w:tblBorders>
          <w:top w:val="single" w:color="5C2D91" w:sz="2"/>
          <w:left w:val="single" w:color="5C2D91" w:sz="2"/>
          <w:bottom w:val="single" w:color="5C2D91" w:sz="2"/>
          <w:right w:val="single" w:color="5C2D91" w:sz="2"/>
          <w:insideH w:val="single" w:color="auto" w:sz="4"/>
          <w:insideV w:val="single" w:color="auto" w:sz="4"/>
        </w:tblBorders>
      </w:tblPr>
      <w:tblGrid>
        <w:gridCol w:w="900"/>
        <w:gridCol w:w="8300"/>
      </w:tblGrid>
      <w:tr>
        <w:tc>
          <w:tcPr>
            <w:tcW w:type="dxa" w:w="900"/>
            <w:tcBorders>
              <w:top w:val="none"/>
              <w:left w:val="none"/>
              <w:bottom w:val="none"/>
              <w:right w:val="none"/>
            </w:tcBorders>
            <w:shd w:fill="5C2D91" w:val="clear"/>
            <w:tcMar>
              <w:top w:type="dxa" w:w="60"/>
              <w:left w:type="dxa" w:w="140"/>
              <w:bottom w:type="dxa" w:w="60"/>
              <w:right w:type="dxa" w:w="140"/>
            </w:tcMar>
            <w:vAlign w:val="center"/>
          </w:tcPr>
          <w:p>
            <w:pPr>
              <w:jc w:val="center"/>
            </w:pPr>
            <w:r>
              <w:rPr>
                <w:rFonts w:ascii="Arial" w:cs="Arial" w:eastAsia="Arial" w:hAnsi="Arial"/>
                <w:b/>
                <w:bCs/>
                <w:color w:val="FFFFFF"/>
                <w:sz w:val="28"/>
                <w:szCs w:val="28"/>
              </w:rPr>
              <w:t xml:space="preserve">3</w:t>
            </w:r>
          </w:p>
        </w:tc>
        <w:tc>
          <w:tcPr>
            <w:tcW w:type="dxa" w:w="8300"/>
            <w:tcBorders>
              <w:top w:val="none"/>
              <w:left w:val="none"/>
              <w:bottom w:val="none"/>
              <w:right w:val="none"/>
            </w:tcBorders>
            <w:shd w:fill="5C2D91" w:val="clear"/>
            <w:tcMar>
              <w:top w:type="dxa" w:w="60"/>
              <w:left w:type="dxa" w:w="160"/>
              <w:bottom w:type="dxa" w:w="60"/>
              <w:right w:type="dxa" w:w="160"/>
            </w:tcMar>
          </w:tcPr>
          <w:p>
            <w:r>
              <w:rPr>
                <w:rFonts w:ascii="Arial" w:cs="Arial" w:eastAsia="Arial" w:hAnsi="Arial"/>
                <w:b/>
                <w:bCs/>
                <w:color w:val="FFFFFF"/>
                <w:sz w:val="22"/>
                <w:szCs w:val="22"/>
              </w:rPr>
              <w:t xml:space="preserve">Root DNS Servers — Top of the Hierarchy</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There are 13 ROOT server addresses (a.root-servers.net through m.root-servers.net).</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These are operated by ICANN, Verisign, NASA, RIPE NCC, and others — physically distributed via Anycast to 1000+ locations worldwide.</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The resolver asks: 'I need example.com — who handles .com?'</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Root server responds with NS records and glue A records for the .com TLD servers:</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  .com  NS  a.gtld-servers.net   (+ A record: 192.5.6.30)</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  .com  NS  b.gtld-servers.net   (+ A record: 192.33.14.30)  … etc.</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Root servers NEVER return final IP answers — they only delegate to TLD servers.</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Root servers are pre-configured into every recursive resolver (called the 'root hints file').</w:t>
            </w:r>
          </w:p>
        </w:tc>
      </w:tr>
    </w:tbl>
    <w:p>
      <w:pPr>
        <w:spacing w:after="0" w:before="60"/>
      </w:pPr>
      <w:r>
        <w:t xml:space="preserve"/>
      </w:r>
    </w:p>
    <w:tbl>
      <w:tblPr>
        <w:tblW w:type="dxa" w:w="9200"/>
        <w:tblBorders>
          <w:top w:val="single" w:color="107C10" w:sz="2"/>
          <w:left w:val="single" w:color="107C10" w:sz="2"/>
          <w:bottom w:val="single" w:color="107C10" w:sz="2"/>
          <w:right w:val="single" w:color="107C10" w:sz="2"/>
          <w:insideH w:val="single" w:color="auto" w:sz="4"/>
          <w:insideV w:val="single" w:color="auto" w:sz="4"/>
        </w:tblBorders>
      </w:tblPr>
      <w:tblGrid>
        <w:gridCol w:w="900"/>
        <w:gridCol w:w="8300"/>
      </w:tblGrid>
      <w:tr>
        <w:tc>
          <w:tcPr>
            <w:tcW w:type="dxa" w:w="900"/>
            <w:tcBorders>
              <w:top w:val="none"/>
              <w:left w:val="none"/>
              <w:bottom w:val="none"/>
              <w:right w:val="none"/>
            </w:tcBorders>
            <w:shd w:fill="107C10" w:val="clear"/>
            <w:tcMar>
              <w:top w:type="dxa" w:w="60"/>
              <w:left w:type="dxa" w:w="140"/>
              <w:bottom w:type="dxa" w:w="60"/>
              <w:right w:type="dxa" w:w="140"/>
            </w:tcMar>
            <w:vAlign w:val="center"/>
          </w:tcPr>
          <w:p>
            <w:pPr>
              <w:jc w:val="center"/>
            </w:pPr>
            <w:r>
              <w:rPr>
                <w:rFonts w:ascii="Arial" w:cs="Arial" w:eastAsia="Arial" w:hAnsi="Arial"/>
                <w:b/>
                <w:bCs/>
                <w:color w:val="FFFFFF"/>
                <w:sz w:val="28"/>
                <w:szCs w:val="28"/>
              </w:rPr>
              <w:t xml:space="preserve">4</w:t>
            </w:r>
          </w:p>
        </w:tc>
        <w:tc>
          <w:tcPr>
            <w:tcW w:type="dxa" w:w="8300"/>
            <w:tcBorders>
              <w:top w:val="none"/>
              <w:left w:val="none"/>
              <w:bottom w:val="none"/>
              <w:right w:val="none"/>
            </w:tcBorders>
            <w:shd w:fill="107C10" w:val="clear"/>
            <w:tcMar>
              <w:top w:type="dxa" w:w="60"/>
              <w:left w:type="dxa" w:w="160"/>
              <w:bottom w:type="dxa" w:w="60"/>
              <w:right w:type="dxa" w:w="160"/>
            </w:tcMar>
          </w:tcPr>
          <w:p>
            <w:r>
              <w:rPr>
                <w:rFonts w:ascii="Arial" w:cs="Arial" w:eastAsia="Arial" w:hAnsi="Arial"/>
                <w:b/>
                <w:bCs/>
                <w:color w:val="FFFFFF"/>
                <w:sz w:val="22"/>
                <w:szCs w:val="22"/>
              </w:rPr>
              <w:t xml:space="preserve">.com TLD Servers — Registry Delegation</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The resolver now asks a .com TLD server (Verisign): 'Who handles example.com?'</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The TLD server does NOT know the IP of example.com. It only knows which nameservers are authoritative for example.com.</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It returns the NS (NameServer) records that were registered when the domain was created/delegated:</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  example.com  NS  ns1-01.azure-dns.com</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  example.com  NS  ns2-01.azure-dns.net</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  example.com  NS  ns3-01.azure-dns.org</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  example.com  NS  ns4-01.azure-dns.info</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This is the NS record delegation — it tells the world 'Azure DNS is authoritative for example.com'.</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These NS records are set at your domain registrar (e.g., App Service Domain / GoDaddy). Changing them is called 'NS delegation'.</w:t>
            </w:r>
          </w:p>
        </w:tc>
      </w:tr>
    </w:tbl>
    <w:p>
      <w:pPr>
        <w:spacing w:after="0" w:before="60"/>
      </w:pPr>
      <w:r>
        <w:t xml:space="preserve"/>
      </w:r>
    </w:p>
    <w:tbl>
      <w:tblPr>
        <w:tblW w:type="dxa" w:w="9200"/>
        <w:tblBorders>
          <w:top w:val="single" w:color="C55A11" w:sz="2"/>
          <w:left w:val="single" w:color="C55A11" w:sz="2"/>
          <w:bottom w:val="single" w:color="C55A11" w:sz="2"/>
          <w:right w:val="single" w:color="C55A11" w:sz="2"/>
          <w:insideH w:val="single" w:color="auto" w:sz="4"/>
          <w:insideV w:val="single" w:color="auto" w:sz="4"/>
        </w:tblBorders>
      </w:tblPr>
      <w:tblGrid>
        <w:gridCol w:w="900"/>
        <w:gridCol w:w="8300"/>
      </w:tblGrid>
      <w:tr>
        <w:tc>
          <w:tcPr>
            <w:tcW w:type="dxa" w:w="900"/>
            <w:tcBorders>
              <w:top w:val="none"/>
              <w:left w:val="none"/>
              <w:bottom w:val="none"/>
              <w:right w:val="none"/>
            </w:tcBorders>
            <w:shd w:fill="C55A11" w:val="clear"/>
            <w:tcMar>
              <w:top w:type="dxa" w:w="60"/>
              <w:left w:type="dxa" w:w="140"/>
              <w:bottom w:type="dxa" w:w="60"/>
              <w:right w:type="dxa" w:w="140"/>
            </w:tcMar>
            <w:vAlign w:val="center"/>
          </w:tcPr>
          <w:p>
            <w:pPr>
              <w:jc w:val="center"/>
            </w:pPr>
            <w:r>
              <w:rPr>
                <w:rFonts w:ascii="Arial" w:cs="Arial" w:eastAsia="Arial" w:hAnsi="Arial"/>
                <w:b/>
                <w:bCs/>
                <w:color w:val="FFFFFF"/>
                <w:sz w:val="28"/>
                <w:szCs w:val="28"/>
              </w:rPr>
              <w:t xml:space="preserve">5</w:t>
            </w:r>
          </w:p>
        </w:tc>
        <w:tc>
          <w:tcPr>
            <w:tcW w:type="dxa" w:w="8300"/>
            <w:tcBorders>
              <w:top w:val="none"/>
              <w:left w:val="none"/>
              <w:bottom w:val="none"/>
              <w:right w:val="none"/>
            </w:tcBorders>
            <w:shd w:fill="C55A11" w:val="clear"/>
            <w:tcMar>
              <w:top w:type="dxa" w:w="60"/>
              <w:left w:type="dxa" w:w="160"/>
              <w:bottom w:type="dxa" w:w="60"/>
              <w:right w:type="dxa" w:w="160"/>
            </w:tcMar>
          </w:tcPr>
          <w:p>
            <w:r>
              <w:rPr>
                <w:rFonts w:ascii="Arial" w:cs="Arial" w:eastAsia="Arial" w:hAnsi="Arial"/>
                <w:b/>
                <w:bCs/>
                <w:color w:val="FFFFFF"/>
                <w:sz w:val="22"/>
                <w:szCs w:val="22"/>
              </w:rPr>
              <w:t xml:space="preserve">Azure DNS — Authoritative Answer</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Resolver asks Azure DNS: 'What is the A/CNAME record for example.com (or app.example.com)?'</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Azure DNS IS the authoritative server — it returns the actual DNS record from your DNS Zone.</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SCENARIO A — Root domain (example.com) → App Gateway via Alias record:</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  example.com  A  (alias)  →  52.168.x.x  (App Gateway Public IP)</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  Azure Alias record: dynamically resolves the referenced Azure resource's current IP.</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  No CNAME possible at apex — CNAME at root violates RFC 1034 (breaks SOA/NS records).</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SCENARIO B — Subdomain (app.example.com) → Front Door via CNAME:</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  app.example.com  CNAME  myapp.azurefd.net  (TTL: 300s)</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  Resolver must now ALSO resolve myapp.azurefd.net → queries Azure Front Door's DNS.</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  Azure Front Door DNS returns an Anycast IP for the nearest PoP.</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  Full chain: app.example.com → CNAME → myapp.azurefd.net → A → 13.107.246.x</w:t>
            </w:r>
          </w:p>
        </w:tc>
      </w:tr>
    </w:tbl>
    <w:p>
      <w:pPr>
        <w:spacing w:after="0" w:before="60"/>
      </w:pPr>
      <w:r>
        <w:t xml:space="preserve"/>
      </w:r>
    </w:p>
    <w:tbl>
      <w:tblPr>
        <w:tblW w:type="dxa" w:w="9200"/>
        <w:tblBorders>
          <w:top w:val="single" w:color="0078D4" w:sz="2"/>
          <w:left w:val="single" w:color="0078D4" w:sz="2"/>
          <w:bottom w:val="single" w:color="0078D4" w:sz="2"/>
          <w:right w:val="single" w:color="0078D4" w:sz="2"/>
          <w:insideH w:val="single" w:color="auto" w:sz="4"/>
          <w:insideV w:val="single" w:color="auto" w:sz="4"/>
        </w:tblBorders>
      </w:tblPr>
      <w:tblGrid>
        <w:gridCol w:w="900"/>
        <w:gridCol w:w="8300"/>
      </w:tblGrid>
      <w:tr>
        <w:tc>
          <w:tcPr>
            <w:tcW w:type="dxa" w:w="900"/>
            <w:tcBorders>
              <w:top w:val="none"/>
              <w:left w:val="none"/>
              <w:bottom w:val="none"/>
              <w:right w:val="none"/>
            </w:tcBorders>
            <w:shd w:fill="0078D4" w:val="clear"/>
            <w:tcMar>
              <w:top w:type="dxa" w:w="60"/>
              <w:left w:type="dxa" w:w="140"/>
              <w:bottom w:type="dxa" w:w="60"/>
              <w:right w:type="dxa" w:w="140"/>
            </w:tcMar>
            <w:vAlign w:val="center"/>
          </w:tcPr>
          <w:p>
            <w:pPr>
              <w:jc w:val="center"/>
            </w:pPr>
            <w:r>
              <w:rPr>
                <w:rFonts w:ascii="Arial" w:cs="Arial" w:eastAsia="Arial" w:hAnsi="Arial"/>
                <w:b/>
                <w:bCs/>
                <w:color w:val="FFFFFF"/>
                <w:sz w:val="28"/>
                <w:szCs w:val="28"/>
              </w:rPr>
              <w:t xml:space="preserve">6</w:t>
            </w:r>
          </w:p>
        </w:tc>
        <w:tc>
          <w:tcPr>
            <w:tcW w:type="dxa" w:w="8300"/>
            <w:tcBorders>
              <w:top w:val="none"/>
              <w:left w:val="none"/>
              <w:bottom w:val="none"/>
              <w:right w:val="none"/>
            </w:tcBorders>
            <w:shd w:fill="0078D4" w:val="clear"/>
            <w:tcMar>
              <w:top w:type="dxa" w:w="60"/>
              <w:left w:type="dxa" w:w="160"/>
              <w:bottom w:type="dxa" w:w="60"/>
              <w:right w:type="dxa" w:w="160"/>
            </w:tcMar>
          </w:tcPr>
          <w:p>
            <w:r>
              <w:rPr>
                <w:rFonts w:ascii="Arial" w:cs="Arial" w:eastAsia="Arial" w:hAnsi="Arial"/>
                <w:b/>
                <w:bCs/>
                <w:color w:val="FFFFFF"/>
                <w:sz w:val="22"/>
                <w:szCs w:val="22"/>
              </w:rPr>
              <w:t xml:space="preserve">CNAME Chain Resolution to Front Door</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When Azure DNS returns a CNAME record (not a final A record), the resolver MUST follow the chain:</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  app.example.com  →  CNAME  →  myapp.azurefd.net</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  myapp.azurefd.net  →  A  →  13.107.246.x  (Front Door Anycast IP)</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The resolver returns the final A record IP to the client (not the CNAME chain).</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Azure Front Door uses Anycast routing: the same IP block is announced from 200+ PoPs globally.</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BGP routing ensures the user's TCP connection is accepted by the geographically nearest PoP.</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This is why Front Door feels 'fast' — DNS returns the same IP but TCP lands at the nearest edge node.</w:t>
            </w:r>
          </w:p>
        </w:tc>
      </w:tr>
    </w:tbl>
    <w:p>
      <w:pPr>
        <w:spacing w:after="0" w:before="60"/>
      </w:pPr>
      <w:r>
        <w:t xml:space="preserve"/>
      </w:r>
    </w:p>
    <w:tbl>
      <w:tblPr>
        <w:tblW w:type="dxa" w:w="9200"/>
        <w:tblBorders>
          <w:top w:val="single" w:color="00788A" w:sz="2"/>
          <w:left w:val="single" w:color="00788A" w:sz="2"/>
          <w:bottom w:val="single" w:color="00788A" w:sz="2"/>
          <w:right w:val="single" w:color="00788A" w:sz="2"/>
          <w:insideH w:val="single" w:color="auto" w:sz="4"/>
          <w:insideV w:val="single" w:color="auto" w:sz="4"/>
        </w:tblBorders>
      </w:tblPr>
      <w:tblGrid>
        <w:gridCol w:w="900"/>
        <w:gridCol w:w="8300"/>
      </w:tblGrid>
      <w:tr>
        <w:tc>
          <w:tcPr>
            <w:tcW w:type="dxa" w:w="900"/>
            <w:tcBorders>
              <w:top w:val="none"/>
              <w:left w:val="none"/>
              <w:bottom w:val="none"/>
              <w:right w:val="none"/>
            </w:tcBorders>
            <w:shd w:fill="00788A" w:val="clear"/>
            <w:tcMar>
              <w:top w:type="dxa" w:w="60"/>
              <w:left w:type="dxa" w:w="140"/>
              <w:bottom w:type="dxa" w:w="60"/>
              <w:right w:type="dxa" w:w="140"/>
            </w:tcMar>
            <w:vAlign w:val="center"/>
          </w:tcPr>
          <w:p>
            <w:pPr>
              <w:jc w:val="center"/>
            </w:pPr>
            <w:r>
              <w:rPr>
                <w:rFonts w:ascii="Arial" w:cs="Arial" w:eastAsia="Arial" w:hAnsi="Arial"/>
                <w:b/>
                <w:bCs/>
                <w:color w:val="FFFFFF"/>
                <w:sz w:val="28"/>
                <w:szCs w:val="28"/>
              </w:rPr>
              <w:t xml:space="preserve">7</w:t>
            </w:r>
          </w:p>
        </w:tc>
        <w:tc>
          <w:tcPr>
            <w:tcW w:type="dxa" w:w="8300"/>
            <w:tcBorders>
              <w:top w:val="none"/>
              <w:left w:val="none"/>
              <w:bottom w:val="none"/>
              <w:right w:val="none"/>
            </w:tcBorders>
            <w:shd w:fill="00788A" w:val="clear"/>
            <w:tcMar>
              <w:top w:type="dxa" w:w="60"/>
              <w:left w:type="dxa" w:w="160"/>
              <w:bottom w:type="dxa" w:w="60"/>
              <w:right w:type="dxa" w:w="160"/>
            </w:tcMar>
          </w:tcPr>
          <w:p>
            <w:r>
              <w:rPr>
                <w:rFonts w:ascii="Arial" w:cs="Arial" w:eastAsia="Arial" w:hAnsi="Arial"/>
                <w:b/>
                <w:bCs/>
                <w:color w:val="FFFFFF"/>
                <w:sz w:val="22"/>
                <w:szCs w:val="22"/>
              </w:rPr>
              <w:t xml:space="preserve">HTTPS Connection &amp; Request Routing</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Browser establishes TCP connection to the Front Door PoP Anycast IP.</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TLS handshake: Front Door presents the managed TLS cert for app.example.com.</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Front Door matches the Host header (app.example.com) to a Route rule.</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Route rule: forward to Origin Group → App Gateway FQDN (appgw.eastus.cloudapp.azure.com).</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App Gateway receives the request, terminates TLS (if end-to-end), matches listener + routing rule.</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AGIC has programmed backend pool with AKS pod IPs → request forwarded to a healthy pod.</w:t>
            </w:r>
          </w:p>
        </w:tc>
      </w:tr>
      <w:tr>
        <w:tc>
          <w:tcPr>
            <w:tcW w:type="dxa" w:w="900"/>
            <w:tcBorders>
              <w:top w:val="none"/>
              <w:left w:val="none"/>
              <w:bottom w:val="none"/>
              <w:right w:val="none"/>
            </w:tcBorders>
            <w:shd w:fill="FFFFFF" w:val="clear"/>
            <w:tcMar>
              <w:top w:type="dxa" w:w="0"/>
              <w:left w:type="dxa" w:w="0"/>
              <w:bottom w:type="dxa" w:w="0"/>
              <w:right w:type="dxa" w:w="0"/>
            </w:tcMar>
          </w:tcPr>
          <w:p>
            <w:r>
              <w:t xml:space="preserve"/>
            </w:r>
          </w:p>
        </w:tc>
        <w:tc>
          <w:tcPr>
            <w:tcW w:type="dxa" w:w="8300"/>
            <w:tcBorders>
              <w:top w:val="none"/>
              <w:left w:val="none"/>
              <w:bottom w:val="single" w:color="EEEEEE" w:sz="1"/>
              <w:right w:val="none"/>
            </w:tcBorders>
            <w:shd w:fill="FFFFFF" w:val="clear"/>
            <w:tcMar>
              <w:top w:type="dxa" w:w="50"/>
              <w:left w:type="dxa" w:w="160"/>
              <w:bottom w:type="dxa" w:w="50"/>
              <w:right w:type="dxa" w:w="160"/>
            </w:tcMar>
          </w:tcPr>
          <w:p>
            <w:r>
              <w:rPr>
                <w:rFonts w:ascii="Arial" w:cs="Arial" w:eastAsia="Arial" w:hAnsi="Arial"/>
                <w:color w:val="1A1A1A"/>
                <w:sz w:val="19"/>
                <w:szCs w:val="19"/>
              </w:rPr>
              <w:t xml:space="preserve">Pod processes request → response travels back through App GW → Front Door → user.</w:t>
            </w:r>
          </w:p>
        </w:tc>
      </w:tr>
    </w:tbl>
    <w:p>
      <w:pPr>
        <w:spacing w:after="0" w:before="120"/>
      </w:pPr>
      <w:r>
        <w:t xml:space="preserve"/>
      </w:r>
    </w:p>
    <w:p>
      <w:pPr>
        <w:pStyle w:val="Heading2"/>
        <w:pBdr>
          <w:bottom w:val="single" w:color="D0EFF3" w:sz="4" w:space="2"/>
        </w:pBdr>
        <w:spacing w:after="120" w:before="300"/>
      </w:pPr>
      <w:r>
        <w:rPr>
          <w:rFonts w:ascii="Arial" w:cs="Arial" w:eastAsia="Arial" w:hAnsi="Arial"/>
          <w:b/>
          <w:bCs/>
          <w:color w:val="00788A"/>
          <w:sz w:val="28"/>
          <w:szCs w:val="28"/>
        </w:rPr>
        <w:t xml:space="preserve">NS Records — What They Are and How They Work</w:t>
      </w:r>
    </w:p>
    <w:p>
      <w:pPr>
        <w:spacing w:after="0" w:before="40"/>
      </w:pPr>
      <w:r>
        <w:t xml:space="preserve"/>
      </w:r>
    </w:p>
    <w:p>
      <w:pPr>
        <w:spacing w:after="60" w:before="60"/>
      </w:pPr>
      <w:r>
        <w:rPr>
          <w:rFonts w:ascii="Arial" w:cs="Arial" w:eastAsia="Arial" w:hAnsi="Arial"/>
          <w:color w:val="1A1A1A"/>
          <w:sz w:val="20"/>
          <w:szCs w:val="20"/>
        </w:rPr>
        <w:t xml:space="preserve">NS (Name Server) records are the backbone of DNS delegation. They answer the question: 'Which DNS servers are authoritative for this domain?' Understanding NS records deeply is a common senior interview topic.</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c>
          <w:tcPr>
            <w:tcW w:type="dxa" w:w="380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NS Record Concept</w:t>
            </w:r>
          </w:p>
        </w:tc>
        <w:tc>
          <w:tcPr>
            <w:tcW w:type="dxa" w:w="540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What is an NS record?</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 DNS record that lists the authoritative nameservers for a domain. When any resolver needs to resolve yourdomain.com, it asks the parent TLD (.com) which returns the NS records pointing to your nameservers.</w:t>
            </w:r>
          </w:p>
        </w:tc>
      </w:tr>
      <w:tr>
        <w:tc>
          <w:tcPr>
            <w:tcW w:type="dxa" w:w="3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NS at zone apex</w:t>
            </w:r>
          </w:p>
        </w:tc>
        <w:tc>
          <w:tcPr>
            <w:tcW w:type="dxa" w:w="5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Every DNS zone MUST have NS records at the apex (@). These are auto-created by Azure DNS (4 nameservers across different TLDs: .com, .net, .org, .info — for resilience).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NS glue records</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When a nameserver's hostname is WITHIN the zone it serves (e.g., ns1.example.com for zone example.com), the parent TLD includes A records (glue records) alongside the NS records to avoid a circular lookup.</w:t>
            </w:r>
          </w:p>
        </w:tc>
      </w:tr>
      <w:tr>
        <w:tc>
          <w:tcPr>
            <w:tcW w:type="dxa" w:w="3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NS delegation</w:t>
            </w:r>
          </w:p>
        </w:tc>
        <w:tc>
          <w:tcPr>
            <w:tcW w:type="dxa" w:w="5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You register your 4 Azure DNS nameservers at your domain registrar. The TLD (.com) stores these NS records. This is called delegation — you're telling the world to go to Azure DNS for answers.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NS TTL</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NS records at the TLD typically have a TTL of 172800s (48 hours). Changing them takes time to propagate — plan NS migrations carefully.</w:t>
            </w:r>
          </w:p>
        </w:tc>
      </w:tr>
      <w:tr>
        <w:tc>
          <w:tcPr>
            <w:tcW w:type="dxa" w:w="3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Subdomain NS delegation</w:t>
            </w:r>
          </w:p>
        </w:tc>
        <w:tc>
          <w:tcPr>
            <w:tcW w:type="dxa" w:w="5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You can delegate a subdomain to DIFFERENT nameservers. e.g., ns1.otherprovider.com handles api.example.com. Azure DNS has NS records pointing api.example.com to another provider.</w:t>
            </w:r>
          </w:p>
        </w:tc>
      </w:tr>
    </w:tbl>
    <w:p>
      <w:pPr>
        <w:spacing w:after="0" w:before="80"/>
      </w:pPr>
      <w:r>
        <w:t xml:space="preserve"/>
      </w:r>
    </w:p>
    <w:p>
      <w:pPr>
        <w:pStyle w:val="Heading3"/>
        <w:spacing w:after="80" w:before="200"/>
      </w:pPr>
      <w:r>
        <w:rPr>
          <w:rFonts w:ascii="Arial" w:cs="Arial" w:eastAsia="Arial" w:hAnsi="Arial"/>
          <w:b/>
          <w:bCs/>
          <w:color w:val="0078D4"/>
          <w:sz w:val="24"/>
          <w:szCs w:val="24"/>
        </w:rPr>
        <w:t xml:space="preserve">Azure DNS — 4 Nameservers Across Different TLDs</w:t>
      </w:r>
    </w:p>
    <w:p>
      <w:pPr>
        <w:spacing w:after="60" w:before="60"/>
      </w:pPr>
      <w:r>
        <w:rPr>
          <w:rFonts w:ascii="Arial" w:cs="Arial" w:eastAsia="Arial" w:hAnsi="Arial"/>
          <w:color w:val="1A1A1A"/>
          <w:sz w:val="20"/>
          <w:szCs w:val="20"/>
        </w:rPr>
        <w:t xml:space="preserve">Azure DNS automatically assigns 4 nameservers to each DNS zone, one from each TLD (.com, .net, .org, .info). This cross-TLD design means even if the .com TLD has an outage, resolvers can still find your nameservers via .net, .org, or .info. This is a deliberate reliability design.</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View your Azure DNS zone's nameservers</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az network dns zone show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--name example.com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--resource-group rg-custom-domain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--query nameServers</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Expected output (4 nameservers, one per TLD):</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"ns1-01.azure-dns.com.",</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"ns2-01.azure-dns.net.",</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"ns3-01.azure-dns.org.",</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"ns4-01.azure-dns.info."</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Verify NS delegation at the TLD level</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dig example.com NS +short</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Full iterative trace (like a resolver does)</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dig +trace example.com</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Check if a specific nameserver is authoritative</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dig @ns1-01.azure-dns.com example.com SOA</w:t>
            </w:r>
          </w:p>
        </w:tc>
      </w:tr>
    </w:tbl>
    <w:p>
      <w:pPr>
        <w:spacing w:after="0" w:before="100"/>
      </w:pPr>
      <w:r>
        <w:t xml:space="preserve"/>
      </w:r>
    </w:p>
    <w:p>
      <w:pPr>
        <w:pStyle w:val="Heading2"/>
        <w:pBdr>
          <w:bottom w:val="single" w:color="D0EFF3" w:sz="4" w:space="2"/>
        </w:pBdr>
        <w:spacing w:after="120" w:before="300"/>
      </w:pPr>
      <w:r>
        <w:rPr>
          <w:rFonts w:ascii="Arial" w:cs="Arial" w:eastAsia="Arial" w:hAnsi="Arial"/>
          <w:b/>
          <w:bCs/>
          <w:color w:val="00788A"/>
          <w:sz w:val="28"/>
          <w:szCs w:val="28"/>
        </w:rPr>
        <w:t xml:space="preserve">TTL (Time-to-Live) — The Caching Engine</w:t>
      </w:r>
    </w:p>
    <w:p>
      <w:pPr>
        <w:spacing w:after="60" w:before="60"/>
      </w:pPr>
      <w:r>
        <w:rPr>
          <w:rFonts w:ascii="Arial" w:cs="Arial" w:eastAsia="Arial" w:hAnsi="Arial"/>
          <w:color w:val="1A1A1A"/>
          <w:sz w:val="20"/>
          <w:szCs w:val="20"/>
        </w:rPr>
        <w:t xml:space="preserve">TTL is the number of seconds a resolver (or browser) is allowed to cache a DNS answer before re-querying. Understanding TTL strategy is critical for migrations and zero-downtime deployments.</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c>
          <w:tcPr>
            <w:tcW w:type="dxa" w:w="380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TTL Scenario</w:t>
            </w:r>
          </w:p>
        </w:tc>
        <w:tc>
          <w:tcPr>
            <w:tcW w:type="dxa" w:w="540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Recommended Value &amp; Reason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Normal production traffic</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300–3600s. Balance between cache hit rate (performance) and propagation speed.</w:t>
            </w:r>
          </w:p>
        </w:tc>
      </w:tr>
      <w:tr>
        <w:tc>
          <w:tcPr>
            <w:tcW w:type="dxa" w:w="3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Before a planned migration / cutover</w:t>
            </w:r>
          </w:p>
        </w:tc>
        <w:tc>
          <w:tcPr>
            <w:tcW w:type="dxa" w:w="5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Lower to 60–120s at least 48h before the change, so caches expire quickly during the switch.</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After migration is complete &amp; stable</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Increase back to 3600s+ to reduce query load on Azure DNS and improve performance.</w:t>
            </w:r>
          </w:p>
        </w:tc>
      </w:tr>
      <w:tr>
        <w:tc>
          <w:tcPr>
            <w:tcW w:type="dxa" w:w="3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Front Door CNAME records</w:t>
            </w:r>
          </w:p>
        </w:tc>
        <w:tc>
          <w:tcPr>
            <w:tcW w:type="dxa" w:w="5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300s. Front Door IPs can shift (Anycast), but the CNAME value (myapp.azurefd.net) is stable.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Azure Alias records</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Azure resolves alias records dynamically at query time — effective TTL is ~10s regardless of setting.</w:t>
            </w:r>
          </w:p>
        </w:tc>
      </w:tr>
      <w:tr>
        <w:tc>
          <w:tcPr>
            <w:tcW w:type="dxa" w:w="3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Root domain A record</w:t>
            </w:r>
          </w:p>
        </w:tc>
        <w:tc>
          <w:tcPr>
            <w:tcW w:type="dxa" w:w="5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300–3600s depending on how often your App GW IP changes (it shouldn't if Static allocation is used).</w:t>
            </w:r>
          </w:p>
        </w:tc>
      </w:tr>
    </w:tbl>
    <w:p>
      <w:pPr>
        <w:spacing w:after="0" w:before="100"/>
      </w:pPr>
      <w:r>
        <w:t xml:space="preserve"/>
      </w:r>
    </w:p>
    <w:p>
      <w:pPr>
        <w:pStyle w:val="Heading2"/>
        <w:pBdr>
          <w:bottom w:val="single" w:color="D0EFF3" w:sz="4" w:space="2"/>
        </w:pBdr>
        <w:spacing w:after="120" w:before="300"/>
      </w:pPr>
      <w:r>
        <w:rPr>
          <w:rFonts w:ascii="Arial" w:cs="Arial" w:eastAsia="Arial" w:hAnsi="Arial"/>
          <w:b/>
          <w:bCs/>
          <w:color w:val="00788A"/>
          <w:sz w:val="28"/>
          <w:szCs w:val="28"/>
        </w:rPr>
        <w:t xml:space="preserve">Practical Debugging Commands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Full iterative DNS trace (simulates resolver behavior)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dig +trace app.example.com</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Shows: root → .com TLD → Azure DNS → CNAME → azurefd.net → IP</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Check current CNAME chain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dig app.example.com CNAME +short</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Expected: myapp.azurefd.net.</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Resolve the full chain to final IP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dig app.example.com A +short</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Expected: 13.107.246.x  (Front Door Anycast IP)</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Bypass local cache — query Azure DNS directly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dig @ns1-01.azure-dns.com app.example.com</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Check TXT record for Front Door verification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dig _dnsauth.app.example.com TXT +short</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Check NS delegation (who is authoritative?)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dig example.com NS +short</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Check SOA record (primary NS + serial number)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dig example.com SOA +short</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Flush local DNS cache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macOS:  sudo dscacheutil -flushcache &amp;&amp; sudo killall -HUP mDNSResponder</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Windows: ipconfig /flushdns</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Linux (systemd): sudo systemd-resolve --flush-caches</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 Check Azure DNS from within a VNet (uses 168.63.129.16) ─────</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 SSH into an Azure VM and run:</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resolvectl status    # shows configured DNS server (should be 168.63.129.16)</w:t>
            </w:r>
          </w:p>
        </w:tc>
      </w:tr>
      <w:tr>
        <w:tc>
          <w:tcPr>
            <w:tcW w:type="dxa" w:w="9200"/>
            <w:tcBorders>
              <w:top w:val="none"/>
              <w:left w:val="none"/>
              <w:bottom w:val="none"/>
              <w:right w:val="none"/>
            </w:tcBorders>
            <w:shd w:fill="1E1E1E" w:val="clear"/>
            <w:tcMar>
              <w:top w:type="dxa" w:w="0"/>
              <w:left w:type="dxa" w:w="160"/>
              <w:bottom w:type="dxa" w:w="0"/>
              <w:right w:type="dxa" w:w="160"/>
            </w:tcMar>
          </w:tcPr>
          <w:p>
            <w:pPr>
              <w:spacing w:after="0" w:before="0"/>
            </w:pPr>
            <w:r>
              <w:rPr>
                <w:rFonts w:ascii="Courier New" w:cs="Courier New" w:eastAsia="Courier New" w:hAnsi="Courier New"/>
                <w:color w:val="D4D4D4"/>
                <w:sz w:val="18"/>
                <w:szCs w:val="18"/>
              </w:rPr>
              <w:t xml:space="preserve">nslookup app.example.com 168.63.129.16</w:t>
            </w:r>
          </w:p>
        </w:tc>
      </w:tr>
    </w:tbl>
    <w:p>
      <w:pPr>
        <w:spacing w:after="0" w:before="100"/>
      </w:pPr>
      <w:r>
        <w:t xml:space="preserve"/>
      </w:r>
    </w:p>
    <w:p>
      <w:pPr>
        <w:pStyle w:val="Heading2"/>
        <w:pBdr>
          <w:bottom w:val="single" w:color="D0EFF3" w:sz="4" w:space="2"/>
        </w:pBdr>
        <w:spacing w:after="120" w:before="300"/>
      </w:pPr>
      <w:r>
        <w:rPr>
          <w:rFonts w:ascii="Arial" w:cs="Arial" w:eastAsia="Arial" w:hAnsi="Arial"/>
          <w:b/>
          <w:bCs/>
          <w:color w:val="00788A"/>
          <w:sz w:val="28"/>
          <w:szCs w:val="28"/>
        </w:rPr>
        <w:t xml:space="preserve">Interview Q &amp; A — DNS Resolution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8D4" w:sz="1"/>
              <w:left w:val="single" w:color="0078D4" w:sz="1"/>
              <w:bottom w:val="single" w:color="0078D4" w:sz="1"/>
              <w:right w:val="single" w:color="0078D4" w:sz="1"/>
            </w:tcBorders>
            <w:shd w:fill="D0E8FA" w:val="clear"/>
            <w:tcMar>
              <w:top w:type="dxa" w:w="80"/>
              <w:left w:type="dxa" w:w="160"/>
              <w:bottom w:type="dxa" w:w="80"/>
              <w:right w:type="dxa" w:w="160"/>
            </w:tcMar>
          </w:tcPr>
          <w:p>
            <w:r>
              <w:rPr>
                <w:rFonts w:ascii="Arial" w:cs="Arial" w:eastAsia="Arial" w:hAnsi="Arial"/>
                <w:b/>
                <w:bCs/>
                <w:color w:val="0078D4"/>
                <w:sz w:val="20"/>
                <w:szCs w:val="20"/>
              </w:rPr>
              <w:t xml:space="preserve">Q: </w:t>
            </w:r>
            <w:r>
              <w:rPr>
                <w:rFonts w:ascii="Arial" w:cs="Arial" w:eastAsia="Arial" w:hAnsi="Arial"/>
                <w:b/>
                <w:bCs/>
                <w:color w:val="1A1A1A"/>
                <w:sz w:val="20"/>
                <w:szCs w:val="20"/>
              </w:rPr>
              <w:t xml:space="preserve">Walk me through exactly what happens when a user types https://app.example.com and hits Enter.</w:t>
            </w:r>
          </w:p>
        </w:tc>
      </w:tr>
      <w:tr>
        <w:tc>
          <w:tcPr>
            <w:tcW w:type="dxa" w:w="9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88A"/>
                <w:sz w:val="20"/>
                <w:szCs w:val="20"/>
              </w:rPr>
              <w:t xml:space="preserve">A: </w:t>
            </w:r>
            <w:r>
              <w:rPr>
                <w:rFonts w:ascii="Arial" w:cs="Arial" w:eastAsia="Arial" w:hAnsi="Arial"/>
                <w:color w:val="1A1A1A"/>
                <w:sz w:val="20"/>
                <w:szCs w:val="20"/>
              </w:rPr>
              <w:t xml:space="preserve">1) Browser checks its own DNS cache. 2) OS resolver cache checked. 3) /etc/hosts checked. On miss → 4) Query sent to recursive resolver (e.g. 8.8.8.8). Resolver checks cache. On miss → 5) Resolver queries a root server: 'who handles .com?' → gets NS for .com TLD servers. 6) Resolver queries .com TLD: 'who handles example.com?' → gets NS records pointing to Azure DNS (ns1-01.azure-dns.com etc). 7) Resolver queries Azure DNS: returns CNAME app.example.com → myapp.azurefd.net. 8) Resolver follows CNAME, queries Front Door DNS, gets Anycast IP. 9) IP returned to browser. 10) Browser opens TCP, TLS handshake to Front Door PoP, sends HTTP request. Front Door routes to App Gateway, AGIC forwards to AKS pod.</w:t>
            </w:r>
          </w:p>
        </w:tc>
      </w:tr>
      <w:tr>
        <w:tc>
          <w:tcPr>
            <w:tcW w:type="dxa" w:w="9200"/>
            <w:tcBorders>
              <w:top w:val="single" w:color="0078D4" w:sz="1"/>
              <w:left w:val="single" w:color="0078D4" w:sz="1"/>
              <w:bottom w:val="single" w:color="0078D4" w:sz="1"/>
              <w:right w:val="single" w:color="0078D4" w:sz="1"/>
            </w:tcBorders>
            <w:shd w:fill="D0E8FA" w:val="clear"/>
            <w:tcMar>
              <w:top w:type="dxa" w:w="80"/>
              <w:left w:type="dxa" w:w="160"/>
              <w:bottom w:type="dxa" w:w="80"/>
              <w:right w:type="dxa" w:w="160"/>
            </w:tcMar>
          </w:tcPr>
          <w:p>
            <w:r>
              <w:rPr>
                <w:rFonts w:ascii="Arial" w:cs="Arial" w:eastAsia="Arial" w:hAnsi="Arial"/>
                <w:b/>
                <w:bCs/>
                <w:color w:val="0078D4"/>
                <w:sz w:val="20"/>
                <w:szCs w:val="20"/>
              </w:rPr>
              <w:t xml:space="preserve">Q: </w:t>
            </w:r>
            <w:r>
              <w:rPr>
                <w:rFonts w:ascii="Arial" w:cs="Arial" w:eastAsia="Arial" w:hAnsi="Arial"/>
                <w:b/>
                <w:bCs/>
                <w:color w:val="1A1A1A"/>
                <w:sz w:val="20"/>
                <w:szCs w:val="20"/>
              </w:rPr>
              <w:t xml:space="preserve">What is a recursive resolver vs an authoritative DNS server?</w:t>
            </w:r>
          </w:p>
        </w:tc>
      </w:tr>
      <w:tr>
        <w:tc>
          <w:tcPr>
            <w:tcW w:type="dxa" w:w="9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88A"/>
                <w:sz w:val="20"/>
                <w:szCs w:val="20"/>
              </w:rPr>
              <w:t xml:space="preserve">A: </w:t>
            </w:r>
            <w:r>
              <w:rPr>
                <w:rFonts w:ascii="Arial" w:cs="Arial" w:eastAsia="Arial" w:hAnsi="Arial"/>
                <w:color w:val="1A1A1A"/>
                <w:sz w:val="20"/>
                <w:szCs w:val="20"/>
              </w:rPr>
              <w:t xml:space="preserve">A recursive resolver (like 8.8.8.8 or your ISP DNS) does all the iterative work — it contacts root servers, TLD servers, and authoritative servers on behalf of the client. It caches results to reduce load. An authoritative DNS server (like Azure DNS) is the final source of truth for a zone — it holds the actual records. Azure DNS is authoritative for your zone; it never recurses. Clients never talk directly to Azure DNS unless they query it explicitly — they always go through a recursive resolver.</w:t>
            </w:r>
          </w:p>
        </w:tc>
      </w:tr>
      <w:tr>
        <w:tc>
          <w:tcPr>
            <w:tcW w:type="dxa" w:w="9200"/>
            <w:tcBorders>
              <w:top w:val="single" w:color="0078D4" w:sz="1"/>
              <w:left w:val="single" w:color="0078D4" w:sz="1"/>
              <w:bottom w:val="single" w:color="0078D4" w:sz="1"/>
              <w:right w:val="single" w:color="0078D4" w:sz="1"/>
            </w:tcBorders>
            <w:shd w:fill="D0E8FA" w:val="clear"/>
            <w:tcMar>
              <w:top w:type="dxa" w:w="80"/>
              <w:left w:type="dxa" w:w="160"/>
              <w:bottom w:type="dxa" w:w="80"/>
              <w:right w:type="dxa" w:w="160"/>
            </w:tcMar>
          </w:tcPr>
          <w:p>
            <w:r>
              <w:rPr>
                <w:rFonts w:ascii="Arial" w:cs="Arial" w:eastAsia="Arial" w:hAnsi="Arial"/>
                <w:b/>
                <w:bCs/>
                <w:color w:val="0078D4"/>
                <w:sz w:val="20"/>
                <w:szCs w:val="20"/>
              </w:rPr>
              <w:t xml:space="preserve">Q: </w:t>
            </w:r>
            <w:r>
              <w:rPr>
                <w:rFonts w:ascii="Arial" w:cs="Arial" w:eastAsia="Arial" w:hAnsi="Arial"/>
                <w:b/>
                <w:bCs/>
                <w:color w:val="1A1A1A"/>
                <w:sz w:val="20"/>
                <w:szCs w:val="20"/>
              </w:rPr>
              <w:t xml:space="preserve">Why can't you use a CNAME record at the zone apex (root domain)?</w:t>
            </w:r>
          </w:p>
        </w:tc>
      </w:tr>
      <w:tr>
        <w:tc>
          <w:tcPr>
            <w:tcW w:type="dxa" w:w="9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88A"/>
                <w:sz w:val="20"/>
                <w:szCs w:val="20"/>
              </w:rPr>
              <w:t xml:space="preserve">A: </w:t>
            </w:r>
            <w:r>
              <w:rPr>
                <w:rFonts w:ascii="Arial" w:cs="Arial" w:eastAsia="Arial" w:hAnsi="Arial"/>
                <w:color w:val="1A1A1A"/>
                <w:sz w:val="20"/>
                <w:szCs w:val="20"/>
              </w:rPr>
              <w:t xml:space="preserve">RFC 1034 prohibits CNAME coexistence with other record types. A zone apex MUST have SOA and NS records. If you set a CNAME at the apex (@), those SOA/NS records would be ignored, breaking DNS entirely. Azure solves this with Alias records — an Azure-specific A/AAAA record that dynamically resolves to an Azure resource's IP at query time, allowing zero-downtime IP tracking without violating the CNAME restriction.</w:t>
            </w:r>
          </w:p>
        </w:tc>
      </w:tr>
      <w:tr>
        <w:tc>
          <w:tcPr>
            <w:tcW w:type="dxa" w:w="9200"/>
            <w:tcBorders>
              <w:top w:val="single" w:color="0078D4" w:sz="1"/>
              <w:left w:val="single" w:color="0078D4" w:sz="1"/>
              <w:bottom w:val="single" w:color="0078D4" w:sz="1"/>
              <w:right w:val="single" w:color="0078D4" w:sz="1"/>
            </w:tcBorders>
            <w:shd w:fill="D0E8FA" w:val="clear"/>
            <w:tcMar>
              <w:top w:type="dxa" w:w="80"/>
              <w:left w:type="dxa" w:w="160"/>
              <w:bottom w:type="dxa" w:w="80"/>
              <w:right w:type="dxa" w:w="160"/>
            </w:tcMar>
          </w:tcPr>
          <w:p>
            <w:r>
              <w:rPr>
                <w:rFonts w:ascii="Arial" w:cs="Arial" w:eastAsia="Arial" w:hAnsi="Arial"/>
                <w:b/>
                <w:bCs/>
                <w:color w:val="0078D4"/>
                <w:sz w:val="20"/>
                <w:szCs w:val="20"/>
              </w:rPr>
              <w:t xml:space="preserve">Q: </w:t>
            </w:r>
            <w:r>
              <w:rPr>
                <w:rFonts w:ascii="Arial" w:cs="Arial" w:eastAsia="Arial" w:hAnsi="Arial"/>
                <w:b/>
                <w:bCs/>
                <w:color w:val="1A1A1A"/>
                <w:sz w:val="20"/>
                <w:szCs w:val="20"/>
              </w:rPr>
              <w:t xml:space="preserve">What is DNS propagation and how do you manage it for zero-downtime migrations?</w:t>
            </w:r>
          </w:p>
        </w:tc>
      </w:tr>
      <w:tr>
        <w:tc>
          <w:tcPr>
            <w:tcW w:type="dxa" w:w="9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88A"/>
                <w:sz w:val="20"/>
                <w:szCs w:val="20"/>
              </w:rPr>
              <w:t xml:space="preserve">A: </w:t>
            </w:r>
            <w:r>
              <w:rPr>
                <w:rFonts w:ascii="Arial" w:cs="Arial" w:eastAsia="Arial" w:hAnsi="Arial"/>
                <w:color w:val="1A1A1A"/>
                <w:sz w:val="20"/>
                <w:szCs w:val="20"/>
              </w:rPr>
              <w:t xml:space="preserve">DNS propagation is the time it takes for updated records to expire from all resolver caches worldwide. It's governed by TTL — if your A record has TTL=3600, it could take up to 1 hour for all resolvers to pick up a change. Best practice for migration: 1) Lower TTL to 60s at least 48h before the cutover (so all existing caches expire to the new low TTL). 2) Make the DNS change. 3) Wait 60s. 4) Verify with dig from multiple locations. 5) After stability is confirmed (hours/days), raise TTL back to 3600s.</w:t>
            </w:r>
          </w:p>
        </w:tc>
      </w:tr>
      <w:tr>
        <w:tc>
          <w:tcPr>
            <w:tcW w:type="dxa" w:w="9200"/>
            <w:tcBorders>
              <w:top w:val="single" w:color="0078D4" w:sz="1"/>
              <w:left w:val="single" w:color="0078D4" w:sz="1"/>
              <w:bottom w:val="single" w:color="0078D4" w:sz="1"/>
              <w:right w:val="single" w:color="0078D4" w:sz="1"/>
            </w:tcBorders>
            <w:shd w:fill="D0E8FA" w:val="clear"/>
            <w:tcMar>
              <w:top w:type="dxa" w:w="80"/>
              <w:left w:type="dxa" w:w="160"/>
              <w:bottom w:type="dxa" w:w="80"/>
              <w:right w:type="dxa" w:w="160"/>
            </w:tcMar>
          </w:tcPr>
          <w:p>
            <w:r>
              <w:rPr>
                <w:rFonts w:ascii="Arial" w:cs="Arial" w:eastAsia="Arial" w:hAnsi="Arial"/>
                <w:b/>
                <w:bCs/>
                <w:color w:val="0078D4"/>
                <w:sz w:val="20"/>
                <w:szCs w:val="20"/>
              </w:rPr>
              <w:t xml:space="preserve">Q: </w:t>
            </w:r>
            <w:r>
              <w:rPr>
                <w:rFonts w:ascii="Arial" w:cs="Arial" w:eastAsia="Arial" w:hAnsi="Arial"/>
                <w:b/>
                <w:bCs/>
                <w:color w:val="1A1A1A"/>
                <w:sz w:val="20"/>
                <w:szCs w:val="20"/>
              </w:rPr>
              <w:t xml:space="preserve">What are NS records and what happens if they are misconfigured?</w:t>
            </w:r>
          </w:p>
        </w:tc>
      </w:tr>
      <w:tr>
        <w:tc>
          <w:tcPr>
            <w:tcW w:type="dxa" w:w="9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88A"/>
                <w:sz w:val="20"/>
                <w:szCs w:val="20"/>
              </w:rPr>
              <w:t xml:space="preserve">A: </w:t>
            </w:r>
            <w:r>
              <w:rPr>
                <w:rFonts w:ascii="Arial" w:cs="Arial" w:eastAsia="Arial" w:hAnsi="Arial"/>
                <w:color w:val="1A1A1A"/>
                <w:sz w:val="20"/>
                <w:szCs w:val="20"/>
              </w:rPr>
              <w:t xml:space="preserve">NS records declare which servers are authoritative for a DNS zone. They're set at two places: inside your zone (as auto-created records by Azure DNS), and at your registrar (which tells the TLD where to delegate). If your registrar NS records don't match Azure DNS's assigned nameservers, the TLD will delegate to the wrong servers — all DNS queries for your domain will fail or return stale results. Always copy the exact NS values from the Azure DNS zone output and paste them into your registrar.</w:t>
            </w:r>
          </w:p>
        </w:tc>
      </w:tr>
      <w:tr>
        <w:tc>
          <w:tcPr>
            <w:tcW w:type="dxa" w:w="9200"/>
            <w:tcBorders>
              <w:top w:val="single" w:color="0078D4" w:sz="1"/>
              <w:left w:val="single" w:color="0078D4" w:sz="1"/>
              <w:bottom w:val="single" w:color="0078D4" w:sz="1"/>
              <w:right w:val="single" w:color="0078D4" w:sz="1"/>
            </w:tcBorders>
            <w:shd w:fill="D0E8FA" w:val="clear"/>
            <w:tcMar>
              <w:top w:type="dxa" w:w="80"/>
              <w:left w:type="dxa" w:w="160"/>
              <w:bottom w:type="dxa" w:w="80"/>
              <w:right w:type="dxa" w:w="160"/>
            </w:tcMar>
          </w:tcPr>
          <w:p>
            <w:r>
              <w:rPr>
                <w:rFonts w:ascii="Arial" w:cs="Arial" w:eastAsia="Arial" w:hAnsi="Arial"/>
                <w:b/>
                <w:bCs/>
                <w:color w:val="0078D4"/>
                <w:sz w:val="20"/>
                <w:szCs w:val="20"/>
              </w:rPr>
              <w:t xml:space="preserve">Q: </w:t>
            </w:r>
            <w:r>
              <w:rPr>
                <w:rFonts w:ascii="Arial" w:cs="Arial" w:eastAsia="Arial" w:hAnsi="Arial"/>
                <w:b/>
                <w:bCs/>
                <w:color w:val="1A1A1A"/>
                <w:sz w:val="20"/>
                <w:szCs w:val="20"/>
              </w:rPr>
              <w:t xml:space="preserve">What is a SOA record and why does it matter?</w:t>
            </w:r>
          </w:p>
        </w:tc>
      </w:tr>
      <w:tr>
        <w:tc>
          <w:tcPr>
            <w:tcW w:type="dxa" w:w="9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88A"/>
                <w:sz w:val="20"/>
                <w:szCs w:val="20"/>
              </w:rPr>
              <w:t xml:space="preserve">A: </w:t>
            </w:r>
            <w:r>
              <w:rPr>
                <w:rFonts w:ascii="Arial" w:cs="Arial" w:eastAsia="Arial" w:hAnsi="Arial"/>
                <w:color w:val="1A1A1A"/>
                <w:sz w:val="20"/>
                <w:szCs w:val="20"/>
              </w:rPr>
              <w:t xml:space="preserve">SOA (Start of Authority) is the first record in every DNS zone. It contains: primary nameserver, admin email, serial number (incremented on every change — secondary servers use this to detect updates), refresh interval (how often secondaries poll primary), retry interval, expire time, and negative TTL (how long to cache NXDOMAIN responses). Azure DNS manages the SOA automatically. In troubleshooting, checking the SOA serial number helps confirm whether a zone update has propagated to all nameservers.</w:t>
            </w:r>
          </w:p>
        </w:tc>
      </w:tr>
      <w:tr>
        <w:tc>
          <w:tcPr>
            <w:tcW w:type="dxa" w:w="9200"/>
            <w:tcBorders>
              <w:top w:val="single" w:color="0078D4" w:sz="1"/>
              <w:left w:val="single" w:color="0078D4" w:sz="1"/>
              <w:bottom w:val="single" w:color="0078D4" w:sz="1"/>
              <w:right w:val="single" w:color="0078D4" w:sz="1"/>
            </w:tcBorders>
            <w:shd w:fill="D0E8FA" w:val="clear"/>
            <w:tcMar>
              <w:top w:type="dxa" w:w="80"/>
              <w:left w:type="dxa" w:w="160"/>
              <w:bottom w:type="dxa" w:w="80"/>
              <w:right w:type="dxa" w:w="160"/>
            </w:tcMar>
          </w:tcPr>
          <w:p>
            <w:r>
              <w:rPr>
                <w:rFonts w:ascii="Arial" w:cs="Arial" w:eastAsia="Arial" w:hAnsi="Arial"/>
                <w:b/>
                <w:bCs/>
                <w:color w:val="0078D4"/>
                <w:sz w:val="20"/>
                <w:szCs w:val="20"/>
              </w:rPr>
              <w:t xml:space="preserve">Q: </w:t>
            </w:r>
            <w:r>
              <w:rPr>
                <w:rFonts w:ascii="Arial" w:cs="Arial" w:eastAsia="Arial" w:hAnsi="Arial"/>
                <w:b/>
                <w:bCs/>
                <w:color w:val="1A1A1A"/>
                <w:sz w:val="20"/>
                <w:szCs w:val="20"/>
              </w:rPr>
              <w:t xml:space="preserve">How does Azure resolve private DNS for services inside a VNet?</w:t>
            </w:r>
          </w:p>
        </w:tc>
      </w:tr>
      <w:tr>
        <w:tc>
          <w:tcPr>
            <w:tcW w:type="dxa" w:w="9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88A"/>
                <w:sz w:val="20"/>
                <w:szCs w:val="20"/>
              </w:rPr>
              <w:t xml:space="preserve">A: </w:t>
            </w:r>
            <w:r>
              <w:rPr>
                <w:rFonts w:ascii="Arial" w:cs="Arial" w:eastAsia="Arial" w:hAnsi="Arial"/>
                <w:color w:val="1A1A1A"/>
                <w:sz w:val="20"/>
                <w:szCs w:val="20"/>
              </w:rPr>
              <w:t xml:space="preserve">Azure VMs use 168.63.129.16 as their DNS resolver (set via DHCP, non-configurable). This Azure-provided resolver forwards queries to Azure DNS, which checks Private DNS Zones linked to the VNet before public zones. For example, if you have a Private Endpoint for a storage account, Azure registers storage.privatelink.blob.core.windows.net in a private zone linked to your VNet — queries for that FQDN resolve to the private IP, never leaving the VNet. Public DNS for the same FQDN resolves to the public IP.</w:t>
            </w:r>
          </w:p>
        </w:tc>
      </w:tr>
    </w:tbl>
    <w:p>
      <w:pPr>
        <w:spacing w:after="0" w:before="100"/>
      </w:pPr>
      <w:r>
        <w:t xml:space="preserve"/>
      </w:r>
    </w:p>
    <w:p>
      <w:pPr>
        <w:pStyle w:val="Heading2"/>
        <w:pBdr>
          <w:bottom w:val="single" w:color="D0EFF3" w:sz="4" w:space="2"/>
        </w:pBdr>
        <w:spacing w:after="120" w:before="300"/>
      </w:pPr>
      <w:r>
        <w:rPr>
          <w:rFonts w:ascii="Arial" w:cs="Arial" w:eastAsia="Arial" w:hAnsi="Arial"/>
          <w:b/>
          <w:bCs/>
          <w:color w:val="00788A"/>
          <w:sz w:val="28"/>
          <w:szCs w:val="28"/>
        </w:rPr>
        <w:t xml:space="preserve">DNS Record Types Used in This Architecture — Quick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Record Type</w:t>
            </w:r>
          </w:p>
        </w:tc>
        <w:tc>
          <w:tcPr>
            <w:tcW w:type="dxa" w:w="700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Where Used in Azure Custom Domain Stack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 (Alias)</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Root domain (example.com) → App Gateway Public IP. Azure Alias dynamically tracks IP changes.</w:t>
            </w:r>
          </w:p>
        </w:tc>
      </w:tr>
      <w:tr>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CNAME</w:t>
            </w:r>
          </w:p>
        </w:tc>
        <w:tc>
          <w:tcPr>
            <w:tcW w:type="dxa" w:w="7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Subdomain (app.example.com) → myapp.azurefd.net. Cannot be used at zone apex.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NS</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Auto-created by Azure DNS (4 nameservers). Register these at your domain registrar for delegation.</w:t>
            </w:r>
          </w:p>
        </w:tc>
      </w:tr>
      <w:tr>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SOA</w:t>
            </w:r>
          </w:p>
        </w:tc>
        <w:tc>
          <w:tcPr>
            <w:tcW w:type="dxa" w:w="7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Auto-managed by Azure DNS. Contains zone metadata, serial, TTL settings.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TXT</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_dnsauth.app → Front Door verification token. Also used for SPF/DKIM for email.</w:t>
            </w:r>
          </w:p>
        </w:tc>
      </w:tr>
      <w:tr>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CAA</w:t>
            </w:r>
          </w:p>
        </w:tc>
        <w:tc>
          <w:tcPr>
            <w:tcW w:type="dxa" w:w="7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A1A1A"/>
                <w:sz w:val="18"/>
                <w:szCs w:val="18"/>
              </w:rPr>
              <w:t xml:space="preserve">Optional: restricts which CAs can issue TLS certs for your domain. e.g., allow only DigiCert (used by Azure managed certs).</w:t>
            </w:r>
          </w:p>
        </w:tc>
      </w:tr>
    </w:tbl>
    <w:p>
      <w:pPr>
        <w:spacing w:after="0" w:before="20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D4F5" w:sz="4" w:space="4"/>
      </w:pBdr>
      <w:tabs>
        <w:tab w:val="right" w:pos="9026"/>
      </w:tabs>
    </w:pPr>
    <w:r>
      <w:rPr>
        <w:rFonts w:ascii="Arial" w:cs="Arial" w:eastAsia="Arial" w:hAnsi="Arial"/>
        <w:color w:val="5A5A5A"/>
        <w:sz w:val="16"/>
        <w:szCs w:val="16"/>
      </w:rPr>
      <w:t xml:space="preserve">Confidential – Interview Notes  </w:t>
    </w:r>
    <w:r>
      <w:rPr>
        <w:rFonts w:ascii="Arial" w:cs="Arial" w:eastAsia="Arial" w:hAnsi="Arial"/>
        <w:color w:val="5A5A5A"/>
        <w:sz w:val="16"/>
        <w:szCs w:val="16"/>
      </w:rPr>
      <w:t xml:space="preserve">	Page </w:t>
    </w:r>
    <w:r>
      <w:rPr>
        <w:rFonts w:ascii="Arial" w:cs="Arial" w:eastAsia="Arial" w:hAnsi="Arial"/>
        <w:color w:val="0078D4"/>
        <w:sz w:val="16"/>
        <w:szCs w:val="16"/>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4" w:space="4"/>
      </w:pBdr>
    </w:pPr>
    <w:r>
      <w:rPr>
        <w:rFonts w:ascii="Arial" w:cs="Arial" w:eastAsia="Arial" w:hAnsi="Arial"/>
        <w:color w:val="5A5A5A"/>
        <w:sz w:val="18"/>
        <w:szCs w:val="18"/>
      </w:rPr>
      <w:t xml:space="preserve">Azure Custom Domain – Interview Prep Guide  |  </w:t>
    </w:r>
    <w:r>
      <w:rPr>
        <w:rFonts w:ascii="Arial" w:cs="Arial" w:eastAsia="Arial" w:hAnsi="Arial"/>
        <w:b/>
        <w:bCs/>
        <w:color w:val="0078D4"/>
        <w:sz w:val="18"/>
        <w:szCs w:val="18"/>
      </w:rPr>
      <w:t xml:space="preserve">DevOps 5 Years Experience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78D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0788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078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2026-05-02T16:38:40.916Z</dcterms:created>
  <dcterms:modified xsi:type="dcterms:W3CDTF">2026-05-02T16:38:40.916Z</dcterms:modified>
</cp:coreProperties>
</file>

<file path=docProps/custom.xml><?xml version="1.0" encoding="utf-8"?>
<Properties xmlns="http://schemas.openxmlformats.org/officeDocument/2006/custom-properties" xmlns:vt="http://schemas.openxmlformats.org/officeDocument/2006/docPropsVTypes"/>
</file>