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rPr>
          <w:sz w:val="2"/>
          <w:szCs w:val="2"/>
        </w:rPr>
      </w:pPr>
      <w:r>
        <w:drawing>
          <wp:inline>
            <wp:extent cx="5986145" cy="42037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5986145" cy="420370"/>
                    </a:xfrm>
                    <a:prstGeom prst="rect"/>
                  </pic:spPr>
                </pic:pic>
              </a:graphicData>
            </a:graphic>
          </wp:inline>
        </w:drawing>
      </w:r>
    </w:p>
    <w:p>
      <w:pPr>
        <w:pStyle w:val="Style9"/>
        <w:keepNext w:val="0"/>
        <w:keepLines w:val="0"/>
        <w:widowControl w:val="0"/>
        <w:shd w:val="clear" w:color="auto" w:fill="000000"/>
        <w:bidi w:val="0"/>
        <w:spacing w:line="240" w:lineRule="auto"/>
        <w:ind w:left="0" w:firstLine="0"/>
        <w:jc w:val="left"/>
      </w:pPr>
      <w:r>
        <w:rPr>
          <w:rStyle w:val="CharStyle10"/>
          <w:b/>
          <w:bCs/>
        </w:rPr>
        <w:t xml:space="preserve">CSA Notice of Amendments to National Instrument 23-101 </w:t>
      </w:r>
      <w:r>
        <w:rPr>
          <w:rStyle w:val="CharStyle10"/>
          <w:b/>
          <w:bCs/>
          <w:i/>
          <w:iCs/>
        </w:rPr>
        <w:t>Trading Rules</w:t>
      </w:r>
      <w:r>
        <w:rPr>
          <w:rStyle w:val="CharStyle10"/>
          <w:b/>
          <w:bCs/>
        </w:rPr>
        <w:t xml:space="preserve"> and Changes to Companion Policy 23-101 </w:t>
      </w:r>
      <w:r>
        <w:rPr>
          <w:rStyle w:val="CharStyle10"/>
          <w:b/>
          <w:bCs/>
          <w:i/>
          <w:iCs/>
        </w:rPr>
        <w:t>Trading Rules</w:t>
      </w:r>
    </w:p>
    <w:p>
      <w:pPr>
        <w:pStyle w:val="Style12"/>
        <w:keepNext w:val="0"/>
        <w:keepLines w:val="0"/>
        <w:widowControl w:val="0"/>
        <w:shd w:val="clear" w:color="auto" w:fill="auto"/>
        <w:bidi w:val="0"/>
        <w:spacing w:line="240" w:lineRule="auto"/>
        <w:ind w:left="0" w:firstLine="0"/>
        <w:jc w:val="left"/>
      </w:pPr>
      <w:r>
        <w:rPr>
          <w:rStyle w:val="CharStyle13"/>
          <w:b/>
          <w:bCs/>
        </w:rPr>
        <w:t>April 23, 2026</w:t>
      </w:r>
    </w:p>
    <w:p>
      <w:pPr>
        <w:pStyle w:val="Style12"/>
        <w:keepNext w:val="0"/>
        <w:keepLines w:val="0"/>
        <w:widowControl w:val="0"/>
        <w:shd w:val="clear" w:color="auto" w:fill="auto"/>
        <w:bidi w:val="0"/>
        <w:spacing w:line="240" w:lineRule="auto"/>
        <w:ind w:left="0" w:firstLine="0"/>
        <w:jc w:val="left"/>
      </w:pPr>
      <w:r>
        <w:rPr>
          <w:rStyle w:val="CharStyle13"/>
          <w:b/>
          <w:bCs/>
        </w:rPr>
        <w:t>Introduction</w:t>
      </w:r>
    </w:p>
    <w:p>
      <w:pPr>
        <w:pStyle w:val="Style12"/>
        <w:keepNext w:val="0"/>
        <w:keepLines w:val="0"/>
        <w:widowControl w:val="0"/>
        <w:shd w:val="clear" w:color="auto" w:fill="auto"/>
        <w:bidi w:val="0"/>
        <w:spacing w:line="240" w:lineRule="auto"/>
        <w:ind w:left="0" w:firstLine="0"/>
        <w:jc w:val="left"/>
      </w:pPr>
      <w:r>
        <w:rPr>
          <w:rStyle w:val="CharStyle13"/>
        </w:rPr>
        <w:t xml:space="preserve">The Canadian Securities Administrators (the </w:t>
      </w:r>
      <w:r>
        <w:rPr>
          <w:rStyle w:val="CharStyle13"/>
          <w:b/>
          <w:bCs/>
        </w:rPr>
        <w:t xml:space="preserve">CSA </w:t>
      </w:r>
      <w:r>
        <w:rPr>
          <w:rStyle w:val="CharStyle13"/>
        </w:rPr>
        <w:t xml:space="preserve">or </w:t>
      </w:r>
      <w:r>
        <w:rPr>
          <w:rStyle w:val="CharStyle13"/>
          <w:b/>
          <w:bCs/>
        </w:rPr>
        <w:t>we</w:t>
      </w:r>
      <w:r>
        <w:rPr>
          <w:rStyle w:val="CharStyle13"/>
        </w:rPr>
        <w:t xml:space="preserve">) are publishing in final form amendments to National Instrument 23-101 </w:t>
      </w:r>
      <w:r>
        <w:rPr>
          <w:rStyle w:val="CharStyle13"/>
          <w:i/>
          <w:iCs/>
        </w:rPr>
        <w:t>Trading Rules</w:t>
      </w:r>
      <w:r>
        <w:rPr>
          <w:rStyle w:val="CharStyle13"/>
        </w:rPr>
        <w:t xml:space="preserve"> (</w:t>
      </w:r>
      <w:r>
        <w:rPr>
          <w:rStyle w:val="CharStyle13"/>
          <w:b/>
          <w:bCs/>
        </w:rPr>
        <w:t>NI 23-101</w:t>
      </w:r>
      <w:r>
        <w:rPr>
          <w:rStyle w:val="CharStyle13"/>
        </w:rPr>
        <w:t xml:space="preserve">) (the </w:t>
      </w:r>
      <w:r>
        <w:rPr>
          <w:rStyle w:val="CharStyle13"/>
          <w:b/>
          <w:bCs/>
        </w:rPr>
        <w:t>Amendments</w:t>
      </w:r>
      <w:r>
        <w:rPr>
          <w:rStyle w:val="CharStyle13"/>
        </w:rPr>
        <w:t xml:space="preserve">) and accompanying changes to Companion Policy to NI 23-101 </w:t>
      </w:r>
      <w:r>
        <w:rPr>
          <w:rStyle w:val="CharStyle13"/>
          <w:i/>
          <w:iCs/>
        </w:rPr>
        <w:t>Trading Rules</w:t>
      </w:r>
      <w:r>
        <w:rPr>
          <w:rStyle w:val="CharStyle13"/>
        </w:rPr>
        <w:t xml:space="preserve"> (</w:t>
      </w:r>
      <w:r>
        <w:rPr>
          <w:rStyle w:val="CharStyle13"/>
          <w:b/>
          <w:bCs/>
        </w:rPr>
        <w:t>NI 23-101CP</w:t>
      </w:r>
      <w:r>
        <w:rPr>
          <w:rStyle w:val="CharStyle13"/>
        </w:rPr>
        <w:t xml:space="preserve">) (the </w:t>
      </w:r>
      <w:r>
        <w:rPr>
          <w:rStyle w:val="CharStyle13"/>
          <w:b/>
          <w:bCs/>
        </w:rPr>
        <w:t>CP Changes</w:t>
      </w:r>
      <w:r>
        <w:rPr>
          <w:rStyle w:val="CharStyle13"/>
        </w:rPr>
        <w:t>).</w:t>
      </w:r>
    </w:p>
    <w:p>
      <w:pPr>
        <w:pStyle w:val="Style12"/>
        <w:keepNext w:val="0"/>
        <w:keepLines w:val="0"/>
        <w:widowControl w:val="0"/>
        <w:shd w:val="clear" w:color="auto" w:fill="auto"/>
        <w:bidi w:val="0"/>
        <w:spacing w:line="240" w:lineRule="auto"/>
        <w:ind w:left="0" w:firstLine="0"/>
        <w:jc w:val="left"/>
      </w:pPr>
      <w:r>
        <w:rPr>
          <w:rStyle w:val="CharStyle13"/>
        </w:rPr>
        <w:t>The Amendments and CP Changes modify section 6.6.1 of NI 23-101 to lower the active trading fee cap</w:t>
      </w:r>
      <w:hyperlink w:anchor="bookmark0" w:tooltip="Current Document">
        <w:r>
          <w:rPr>
            <w:rStyle w:val="CharStyle13"/>
          </w:rPr>
          <w:t xml:space="preserve"> </w:t>
        </w:r>
        <w:r>
          <w:rPr>
            <w:rStyle w:val="CharStyle13"/>
            <w:vertAlign w:val="superscript"/>
          </w:rPr>
          <w:footnoteReference w:id="2"/>
        </w:r>
        <w:r>
          <w:rPr>
            <w:rStyle w:val="CharStyle13"/>
          </w:rPr>
          <w:t xml:space="preserve"> </w:t>
        </w:r>
      </w:hyperlink>
      <w:r>
        <w:rPr>
          <w:rStyle w:val="CharStyle13"/>
        </w:rPr>
        <w:t>applicable to trades in securities that are listed on both a Canadian recognized exchange and a U.S. registered national securities exchange (</w:t>
      </w:r>
      <w:r>
        <w:rPr>
          <w:rStyle w:val="CharStyle13"/>
          <w:b/>
          <w:bCs/>
        </w:rPr>
        <w:t>U.S. Inter-listed Securities</w:t>
      </w:r>
      <w:r>
        <w:rPr>
          <w:rStyle w:val="CharStyle13"/>
        </w:rPr>
        <w:t>) and make related changes to NI 23-101CP.</w:t>
      </w:r>
    </w:p>
    <w:p>
      <w:pPr>
        <w:pStyle w:val="Style12"/>
        <w:keepNext w:val="0"/>
        <w:keepLines w:val="0"/>
        <w:widowControl w:val="0"/>
        <w:shd w:val="clear" w:color="auto" w:fill="auto"/>
        <w:bidi w:val="0"/>
        <w:spacing w:line="240" w:lineRule="auto"/>
        <w:ind w:left="0" w:firstLine="0"/>
        <w:jc w:val="left"/>
      </w:pPr>
      <w:r>
        <w:rPr>
          <w:rStyle w:val="CharStyle13"/>
        </w:rPr>
        <w:t>We are publishing clean and blacklined versions of the text of the Amendments and CP Changes in Annexes A through D to this notice, together with summary of comments at Annex E. The text of the Amendments and CP Changes will also be available on the websites of the CSA jurisdictions, including:</w:t>
      </w:r>
    </w:p>
    <w:p>
      <w:pPr>
        <w:pStyle w:val="Style12"/>
        <w:keepNext w:val="0"/>
        <w:keepLines w:val="0"/>
        <w:widowControl w:val="0"/>
        <w:shd w:val="clear" w:color="auto" w:fill="auto"/>
        <w:bidi w:val="0"/>
        <w:spacing w:line="240" w:lineRule="auto"/>
        <w:ind w:left="0" w:firstLine="0"/>
        <w:jc w:val="left"/>
      </w:pPr>
      <w:r>
        <w:fldChar w:fldCharType="begin"/>
      </w:r>
      <w:r>
        <w:rPr/>
        <w:instrText> HYPERLINK "http://www.lautorite.qc.ca/" </w:instrText>
      </w:r>
      <w:r>
        <w:fldChar w:fldCharType="separate"/>
      </w:r>
      <w:r>
        <w:rPr>
          <w:rStyle w:val="CharStyle13"/>
          <w:color w:val="0000FF"/>
          <w:u w:val="single"/>
        </w:rPr>
        <w:t>www.lautorite.qc.ca</w:t>
      </w:r>
      <w:r>
        <w:fldChar w:fldCharType="end"/>
      </w:r>
    </w:p>
    <w:p>
      <w:pPr>
        <w:pStyle w:val="Style12"/>
        <w:keepNext w:val="0"/>
        <w:keepLines w:val="0"/>
        <w:widowControl w:val="0"/>
        <w:shd w:val="clear" w:color="auto" w:fill="auto"/>
        <w:bidi w:val="0"/>
        <w:spacing w:line="240" w:lineRule="auto"/>
        <w:ind w:left="0" w:firstLine="0"/>
        <w:jc w:val="left"/>
      </w:pPr>
      <w:r>
        <w:fldChar w:fldCharType="begin"/>
      </w:r>
      <w:r>
        <w:rPr/>
        <w:instrText> HYPERLINK "http://www.asc.ca/" </w:instrText>
      </w:r>
      <w:r>
        <w:fldChar w:fldCharType="separate"/>
      </w:r>
      <w:r>
        <w:rPr>
          <w:rStyle w:val="CharStyle13"/>
          <w:color w:val="0000FF"/>
          <w:u w:val="single"/>
        </w:rPr>
        <w:t>www.asc.ca</w:t>
      </w:r>
      <w:r>
        <w:fldChar w:fldCharType="end"/>
      </w:r>
    </w:p>
    <w:p>
      <w:pPr>
        <w:pStyle w:val="Style12"/>
        <w:keepNext w:val="0"/>
        <w:keepLines w:val="0"/>
        <w:widowControl w:val="0"/>
        <w:shd w:val="clear" w:color="auto" w:fill="auto"/>
        <w:bidi w:val="0"/>
        <w:spacing w:line="240" w:lineRule="auto"/>
        <w:ind w:left="0" w:firstLine="0"/>
        <w:jc w:val="left"/>
      </w:pPr>
      <w:r>
        <w:fldChar w:fldCharType="begin"/>
      </w:r>
      <w:r>
        <w:rPr/>
        <w:instrText> HYPERLINK "http://www.bcsc.bc.ca/" </w:instrText>
      </w:r>
      <w:r>
        <w:fldChar w:fldCharType="separate"/>
      </w:r>
      <w:r>
        <w:rPr>
          <w:rStyle w:val="CharStyle13"/>
          <w:color w:val="0000FF"/>
          <w:u w:val="single"/>
        </w:rPr>
        <w:t>www.bcsc.bc.ca</w:t>
      </w:r>
      <w:r>
        <w:fldChar w:fldCharType="end"/>
      </w:r>
    </w:p>
    <w:p>
      <w:pPr>
        <w:pStyle w:val="Style12"/>
        <w:keepNext w:val="0"/>
        <w:keepLines w:val="0"/>
        <w:widowControl w:val="0"/>
        <w:shd w:val="clear" w:color="auto" w:fill="auto"/>
        <w:bidi w:val="0"/>
        <w:spacing w:line="240" w:lineRule="auto"/>
        <w:ind w:left="0" w:firstLine="0"/>
        <w:jc w:val="left"/>
      </w:pPr>
      <w:r>
        <w:fldChar w:fldCharType="begin"/>
      </w:r>
      <w:r>
        <w:rPr/>
        <w:instrText> HYPERLINK "http://www.nssc.novascotia.ca/" </w:instrText>
      </w:r>
      <w:r>
        <w:fldChar w:fldCharType="separate"/>
      </w:r>
      <w:r>
        <w:rPr>
          <w:rStyle w:val="CharStyle13"/>
          <w:color w:val="0000FF"/>
          <w:u w:val="single"/>
        </w:rPr>
        <w:t>www.nssc.novascotia.ca</w:t>
      </w:r>
      <w:r>
        <w:fldChar w:fldCharType="end"/>
      </w:r>
    </w:p>
    <w:p>
      <w:pPr>
        <w:pStyle w:val="Style12"/>
        <w:keepNext w:val="0"/>
        <w:keepLines w:val="0"/>
        <w:widowControl w:val="0"/>
        <w:shd w:val="clear" w:color="auto" w:fill="auto"/>
        <w:bidi w:val="0"/>
        <w:spacing w:line="240" w:lineRule="auto"/>
        <w:ind w:left="0" w:firstLine="0"/>
        <w:jc w:val="left"/>
      </w:pPr>
      <w:r>
        <w:fldChar w:fldCharType="begin"/>
      </w:r>
      <w:r>
        <w:rPr/>
        <w:instrText> HYPERLINK "http://www.fcnb.ca/" </w:instrText>
      </w:r>
      <w:r>
        <w:fldChar w:fldCharType="separate"/>
      </w:r>
      <w:r>
        <w:rPr>
          <w:rStyle w:val="CharStyle13"/>
          <w:color w:val="0000FF"/>
          <w:u w:val="single"/>
        </w:rPr>
        <w:t>www.fcnb.ca</w:t>
      </w:r>
      <w:r>
        <w:fldChar w:fldCharType="end"/>
      </w:r>
    </w:p>
    <w:p>
      <w:pPr>
        <w:pStyle w:val="Style12"/>
        <w:keepNext w:val="0"/>
        <w:keepLines w:val="0"/>
        <w:widowControl w:val="0"/>
        <w:shd w:val="clear" w:color="auto" w:fill="auto"/>
        <w:bidi w:val="0"/>
        <w:spacing w:line="240" w:lineRule="auto"/>
        <w:ind w:left="0" w:firstLine="0"/>
        <w:jc w:val="left"/>
      </w:pPr>
      <w:r>
        <w:fldChar w:fldCharType="begin"/>
      </w:r>
      <w:r>
        <w:rPr/>
        <w:instrText> HYPERLINK "http://www.osc.ca/" </w:instrText>
      </w:r>
      <w:r>
        <w:fldChar w:fldCharType="separate"/>
      </w:r>
      <w:r>
        <w:rPr>
          <w:rStyle w:val="CharStyle13"/>
          <w:color w:val="0000FF"/>
          <w:u w:val="single"/>
        </w:rPr>
        <w:t>www.osc.ca</w:t>
      </w:r>
      <w:r>
        <w:fldChar w:fldCharType="end"/>
      </w:r>
    </w:p>
    <w:p>
      <w:pPr>
        <w:pStyle w:val="Style12"/>
        <w:keepNext w:val="0"/>
        <w:keepLines w:val="0"/>
        <w:widowControl w:val="0"/>
        <w:shd w:val="clear" w:color="auto" w:fill="auto"/>
        <w:bidi w:val="0"/>
        <w:spacing w:line="240" w:lineRule="auto"/>
        <w:ind w:left="0" w:firstLine="0"/>
        <w:jc w:val="left"/>
      </w:pPr>
      <w:r>
        <w:fldChar w:fldCharType="begin"/>
      </w:r>
      <w:r>
        <w:rPr/>
        <w:instrText> HYPERLINK "http://www.fcaa.gov.sk.ca/" </w:instrText>
      </w:r>
      <w:r>
        <w:fldChar w:fldCharType="separate"/>
      </w:r>
      <w:r>
        <w:rPr>
          <w:rStyle w:val="CharStyle13"/>
          <w:color w:val="0000FF"/>
          <w:u w:val="single"/>
        </w:rPr>
        <w:t>www.fcaa.gov.sk.ca</w:t>
      </w:r>
      <w:r>
        <w:fldChar w:fldCharType="end"/>
      </w:r>
    </w:p>
    <w:p>
      <w:pPr>
        <w:pStyle w:val="Style12"/>
        <w:keepNext w:val="0"/>
        <w:keepLines w:val="0"/>
        <w:widowControl w:val="0"/>
        <w:shd w:val="clear" w:color="auto" w:fill="auto"/>
        <w:bidi w:val="0"/>
        <w:spacing w:line="240" w:lineRule="auto"/>
        <w:ind w:left="0" w:firstLine="0"/>
        <w:jc w:val="left"/>
      </w:pPr>
      <w:r>
        <w:fldChar w:fldCharType="begin"/>
      </w:r>
      <w:r>
        <w:rPr/>
        <w:instrText> HYPERLINK "http://www.mbsecurities.ca/" </w:instrText>
      </w:r>
      <w:r>
        <w:fldChar w:fldCharType="separate"/>
      </w:r>
      <w:r>
        <w:rPr>
          <w:rStyle w:val="CharStyle13"/>
          <w:color w:val="0000FF"/>
          <w:u w:val="single"/>
        </w:rPr>
        <w:t>www.mbsecurities.ca</w:t>
      </w:r>
      <w:r>
        <w:fldChar w:fldCharType="end"/>
      </w:r>
    </w:p>
    <w:p>
      <w:pPr>
        <w:pStyle w:val="Style12"/>
        <w:keepNext w:val="0"/>
        <w:keepLines w:val="0"/>
        <w:widowControl w:val="0"/>
        <w:shd w:val="clear" w:color="auto" w:fill="auto"/>
        <w:bidi w:val="0"/>
        <w:spacing w:line="240" w:lineRule="auto"/>
        <w:ind w:left="0" w:firstLine="0"/>
        <w:jc w:val="left"/>
      </w:pPr>
      <w:r>
        <w:rPr>
          <w:rStyle w:val="CharStyle13"/>
        </w:rPr>
        <w:t xml:space="preserve">Provided all necessary ministerial approvals are obtained, the Amendments will come into force on, and the CP Changes will take effect on </w:t>
      </w:r>
      <w:r>
        <w:rPr>
          <w:rStyle w:val="CharStyle13"/>
          <w:b/>
          <w:bCs/>
        </w:rPr>
        <w:t>November 2, 2026.</w:t>
      </w:r>
    </w:p>
    <w:p>
      <w:pPr>
        <w:pStyle w:val="Style12"/>
        <w:keepNext w:val="0"/>
        <w:keepLines w:val="0"/>
        <w:widowControl w:val="0"/>
        <w:shd w:val="clear" w:color="auto" w:fill="auto"/>
        <w:bidi w:val="0"/>
        <w:spacing w:line="240" w:lineRule="auto"/>
        <w:ind w:left="0" w:firstLine="0"/>
        <w:jc w:val="left"/>
      </w:pPr>
      <w:r>
        <w:rPr>
          <w:rStyle w:val="CharStyle13"/>
        </w:rPr>
        <w:t>In a related initiative, the Canadian Investment Regulatory Organization (</w:t>
      </w:r>
      <w:r>
        <w:rPr>
          <w:rStyle w:val="CharStyle13"/>
          <w:b/>
          <w:bCs/>
        </w:rPr>
        <w:t>CIRO</w:t>
      </w:r>
      <w:r>
        <w:rPr>
          <w:rStyle w:val="CharStyle13"/>
        </w:rPr>
        <w:t>) published an approval to amend subsection 6.1(1) of the Universal Market Integrity Rules to align Canadian trading increments for certain U.S. Inter-listed Securities with the equivalent minimum pricing increment for these securities in the U.S.</w:t>
      </w:r>
      <w:hyperlink w:anchor="bookmark1" w:tooltip="Current Document">
        <w:r>
          <w:rPr>
            <w:rStyle w:val="CharStyle13"/>
            <w:vertAlign w:val="superscript"/>
          </w:rPr>
          <w:footnoteReference w:id="3"/>
        </w:r>
      </w:hyperlink>
    </w:p>
    <w:p>
      <w:pPr>
        <w:pStyle w:val="Style12"/>
        <w:keepNext w:val="0"/>
        <w:keepLines w:val="0"/>
        <w:widowControl w:val="0"/>
        <w:shd w:val="clear" w:color="auto" w:fill="auto"/>
        <w:bidi w:val="0"/>
        <w:spacing w:line="240" w:lineRule="auto"/>
        <w:ind w:left="0" w:firstLine="0"/>
        <w:jc w:val="left"/>
      </w:pPr>
      <w:r>
        <w:rPr>
          <w:rStyle w:val="CharStyle13"/>
          <w:b/>
          <w:bCs/>
        </w:rPr>
        <w:t>Substance and Purpose</w:t>
      </w:r>
    </w:p>
    <w:p>
      <w:pPr>
        <w:pStyle w:val="Style12"/>
        <w:keepNext w:val="0"/>
        <w:keepLines w:val="0"/>
        <w:widowControl w:val="0"/>
        <w:shd w:val="clear" w:color="auto" w:fill="auto"/>
        <w:bidi w:val="0"/>
        <w:spacing w:line="240" w:lineRule="auto"/>
        <w:ind w:left="0" w:firstLine="0"/>
        <w:jc w:val="left"/>
      </w:pPr>
      <w:r>
        <w:rPr>
          <w:rStyle w:val="CharStyle13"/>
        </w:rPr>
        <w:t>The Amendments and CP Changes lower the maximum fee for executing an order involving a U.S. Inter-listed Security priced at CAD $1.00 or more. The Amendments amend section 6.6.1 of NI 23-101 to cap active trading fees for U.S. Inter-listed Securities at CAD $0.0017 per share if the execution price of the security is greater than or equal to $1.00. Following this change, all equities priced at CAD $1.00 or more will have an active trading fee cap of CAD $0.0017. We will monitor the impact of the change in the fee cap over time and assess if further changes to the fee cap are required. Any further changes will be subject to public consultation.</w:t>
      </w:r>
    </w:p>
    <w:p>
      <w:pPr>
        <w:pStyle w:val="Style12"/>
        <w:keepNext w:val="0"/>
        <w:keepLines w:val="0"/>
        <w:widowControl w:val="0"/>
        <w:shd w:val="clear" w:color="auto" w:fill="auto"/>
        <w:bidi w:val="0"/>
        <w:spacing w:line="240" w:lineRule="auto"/>
        <w:ind w:left="0" w:firstLine="0"/>
        <w:jc w:val="left"/>
      </w:pPr>
      <w:r>
        <w:rPr>
          <w:rStyle w:val="CharStyle13"/>
          <w:b/>
          <w:bCs/>
        </w:rPr>
        <w:t>Background</w:t>
      </w:r>
    </w:p>
    <w:p>
      <w:pPr>
        <w:pStyle w:val="Style12"/>
        <w:keepNext w:val="0"/>
        <w:keepLines w:val="0"/>
        <w:widowControl w:val="0"/>
        <w:shd w:val="clear" w:color="auto" w:fill="auto"/>
        <w:bidi w:val="0"/>
        <w:spacing w:line="240" w:lineRule="auto"/>
        <w:ind w:left="0" w:firstLine="0"/>
        <w:jc w:val="left"/>
      </w:pPr>
      <w:r>
        <w:rPr>
          <w:rStyle w:val="CharStyle13"/>
        </w:rPr>
        <w:t>Following a review by the CSA and CIRO of the U.S. Securities and Exchange Commission (</w:t>
      </w:r>
      <w:r>
        <w:rPr>
          <w:rStyle w:val="CharStyle13"/>
          <w:b/>
          <w:bCs/>
        </w:rPr>
        <w:t>SEC</w:t>
      </w:r>
      <w:r>
        <w:rPr>
          <w:rStyle w:val="CharStyle13"/>
        </w:rPr>
        <w:t>) amendments to establish a variable (and in many cases smaller) minimum trading increment for securities (</w:t>
      </w:r>
      <w:r>
        <w:rPr>
          <w:rStyle w:val="CharStyle13"/>
          <w:b/>
          <w:bCs/>
        </w:rPr>
        <w:t>SEC Tick Size Rule</w:t>
      </w:r>
      <w:r>
        <w:rPr>
          <w:rStyle w:val="CharStyle13"/>
        </w:rPr>
        <w:t>) and, in conjunction, reduce the trading fee caps charged in the U.S. (</w:t>
      </w:r>
      <w:r>
        <w:rPr>
          <w:rStyle w:val="CharStyle13"/>
          <w:b/>
          <w:bCs/>
        </w:rPr>
        <w:t>SEC Trading Fee Rule</w:t>
      </w:r>
      <w:r>
        <w:rPr>
          <w:rStyle w:val="CharStyle13"/>
        </w:rPr>
        <w:t xml:space="preserve">), the CSA published proposed amendments to NI 23-101 and changes to NI 23-101CP on January 23, 2025 (the </w:t>
      </w:r>
      <w:r>
        <w:rPr>
          <w:rStyle w:val="CharStyle13"/>
          <w:b/>
          <w:bCs/>
        </w:rPr>
        <w:t>Request for Comment</w:t>
      </w:r>
      <w:r>
        <w:rPr>
          <w:rStyle w:val="CharStyle13"/>
        </w:rPr>
        <w:t>) to reduce the trading fee cap for U.S. Inter-listed Securities to CAD $0.0010 for securities inter-listed on a U.S. registered national securities exchange priced at or above CAD $1.00.</w:t>
      </w:r>
      <w:hyperlink w:anchor="bookmark2" w:tooltip="Current Document">
        <w:r>
          <w:rPr>
            <w:rStyle w:val="CharStyle13"/>
            <w:vertAlign w:val="superscript"/>
          </w:rPr>
          <w:footnoteReference w:id="4"/>
        </w:r>
        <w:r>
          <w:rPr>
            <w:rStyle w:val="CharStyle13"/>
          </w:rPr>
          <w:t xml:space="preserve"> </w:t>
        </w:r>
      </w:hyperlink>
      <w:r>
        <w:rPr>
          <w:rStyle w:val="CharStyle13"/>
        </w:rPr>
        <w:t>The trading fee cap proposed in the Request for Comment matched the SEC trading fee cap of USD $0.0010 without consideration of foreign exchange rates. After considering the comments received in response to the publication, we have made non-material changes to certain aspects of the proposals. For additional background on the substance and purpose of the Amendments and CP Changes, please refer to the Request for Comment.</w:t>
      </w:r>
    </w:p>
    <w:p>
      <w:pPr>
        <w:pStyle w:val="Style12"/>
        <w:keepNext w:val="0"/>
        <w:keepLines w:val="0"/>
        <w:widowControl w:val="0"/>
        <w:shd w:val="clear" w:color="auto" w:fill="auto"/>
        <w:bidi w:val="0"/>
        <w:spacing w:line="240" w:lineRule="auto"/>
        <w:ind w:left="0" w:firstLine="0"/>
        <w:jc w:val="left"/>
      </w:pPr>
      <w:r>
        <w:rPr>
          <w:rStyle w:val="CharStyle13"/>
        </w:rPr>
        <w:t>The SEC Tick Size Rule and SEC Trading Fee Rule were originally to come into effect on November 3, 2025 but implementation was paused pending the outcome of litigation challenging the rules. They will now be implemented on November 2, 2026</w:t>
      </w:r>
      <w:hyperlink w:anchor="bookmark3" w:tooltip="Current Document">
        <w:r>
          <w:rPr>
            <w:rStyle w:val="CharStyle13"/>
            <w:vertAlign w:val="superscript"/>
          </w:rPr>
          <w:footnoteReference w:id="5"/>
        </w:r>
      </w:hyperlink>
      <w:r>
        <w:rPr>
          <w:rStyle w:val="CharStyle13"/>
        </w:rPr>
        <w:t>, which is the date on which the Amendments will come into force and CP Changes will take effect.</w:t>
      </w:r>
    </w:p>
    <w:p>
      <w:pPr>
        <w:pStyle w:val="Style12"/>
        <w:keepNext w:val="0"/>
        <w:keepLines w:val="0"/>
        <w:widowControl w:val="0"/>
        <w:shd w:val="clear" w:color="auto" w:fill="auto"/>
        <w:bidi w:val="0"/>
        <w:spacing w:line="240" w:lineRule="auto"/>
        <w:ind w:left="0" w:firstLine="0"/>
        <w:jc w:val="left"/>
      </w:pPr>
      <w:r>
        <w:rPr>
          <w:rStyle w:val="CharStyle13"/>
          <w:b/>
          <w:bCs/>
        </w:rPr>
        <w:t>Summary of Written Comments Received by the CSA</w:t>
      </w:r>
    </w:p>
    <w:p>
      <w:pPr>
        <w:pStyle w:val="Style12"/>
        <w:keepNext w:val="0"/>
        <w:keepLines w:val="0"/>
        <w:widowControl w:val="0"/>
        <w:shd w:val="clear" w:color="auto" w:fill="auto"/>
        <w:bidi w:val="0"/>
        <w:spacing w:line="240" w:lineRule="auto"/>
        <w:ind w:left="0" w:firstLine="0"/>
        <w:jc w:val="left"/>
      </w:pPr>
      <w:r>
        <w:rPr>
          <w:rStyle w:val="CharStyle13"/>
        </w:rPr>
        <w:t>In response to the Request for Comment, we received 10 responses. We have considered the comments received and thank all the commenters for their input. A list of those who submitted comments, a summary of the comments and our responses are attached at Annex E to this notice. Copies of the comment letters are available at</w:t>
      </w:r>
      <w:r>
        <w:fldChar w:fldCharType="begin"/>
      </w:r>
      <w:r>
        <w:rPr/>
        <w:instrText> HYPERLINK "http://www.osc.ca/" </w:instrText>
      </w:r>
      <w:r>
        <w:fldChar w:fldCharType="separate"/>
      </w:r>
      <w:r>
        <w:rPr>
          <w:rStyle w:val="CharStyle13"/>
        </w:rPr>
        <w:t xml:space="preserve"> </w:t>
      </w:r>
      <w:r>
        <w:rPr>
          <w:rStyle w:val="CharStyle13"/>
          <w:color w:val="0000FF"/>
          <w:u w:val="single"/>
        </w:rPr>
        <w:t>www.osc.ca</w:t>
      </w:r>
      <w:r>
        <w:rPr>
          <w:rStyle w:val="CharStyle13"/>
          <w:color w:val="0000FF"/>
        </w:rPr>
        <w:t xml:space="preserve"> </w:t>
      </w:r>
      <w:r>
        <w:fldChar w:fldCharType="end"/>
      </w:r>
      <w:r>
        <w:rPr>
          <w:rStyle w:val="CharStyle13"/>
        </w:rPr>
        <w:t>and</w:t>
      </w:r>
      <w:r>
        <w:fldChar w:fldCharType="begin"/>
      </w:r>
      <w:r>
        <w:rPr/>
        <w:instrText> HYPERLINK "http://www.lautorite.qc.ca/" </w:instrText>
      </w:r>
      <w:r>
        <w:fldChar w:fldCharType="separate"/>
      </w:r>
      <w:r>
        <w:rPr>
          <w:rStyle w:val="CharStyle13"/>
        </w:rPr>
        <w:t xml:space="preserve"> </w:t>
      </w:r>
      <w:r>
        <w:rPr>
          <w:rStyle w:val="CharStyle13"/>
          <w:color w:val="0000FF"/>
          <w:u w:val="single"/>
        </w:rPr>
        <w:t>www.lautorite.qc.ca</w:t>
      </w:r>
      <w:r>
        <w:rPr>
          <w:rStyle w:val="CharStyle13"/>
        </w:rPr>
        <w:t>.</w:t>
      </w:r>
      <w:r>
        <w:fldChar w:fldCharType="end"/>
      </w:r>
    </w:p>
    <w:p>
      <w:pPr>
        <w:pStyle w:val="Style12"/>
        <w:keepNext w:val="0"/>
        <w:keepLines w:val="0"/>
        <w:widowControl w:val="0"/>
        <w:shd w:val="clear" w:color="auto" w:fill="auto"/>
        <w:bidi w:val="0"/>
        <w:spacing w:line="240" w:lineRule="auto"/>
        <w:ind w:left="0" w:firstLine="0"/>
        <w:jc w:val="left"/>
      </w:pPr>
      <w:r>
        <w:rPr>
          <w:rStyle w:val="CharStyle13"/>
          <w:b/>
          <w:bCs/>
        </w:rPr>
        <w:t>Summary of Notable Changes</w:t>
      </w:r>
    </w:p>
    <w:p>
      <w:pPr>
        <w:pStyle w:val="Style12"/>
        <w:keepNext w:val="0"/>
        <w:keepLines w:val="0"/>
        <w:widowControl w:val="0"/>
        <w:shd w:val="clear" w:color="auto" w:fill="auto"/>
        <w:bidi w:val="0"/>
        <w:spacing w:line="240" w:lineRule="auto"/>
        <w:ind w:left="0" w:firstLine="0"/>
        <w:jc w:val="left"/>
      </w:pPr>
      <w:r>
        <w:rPr>
          <w:rStyle w:val="CharStyle13"/>
        </w:rPr>
        <w:t>As noted above, the Request for Comment initially proposed lowering the trading fee cap for U.S. Inter-listed Securities to CAD $0.0010 per share if the execution price of the security is greater than or equal to $1.00, which aligns with the SEC Trading Fee Rule at USD $0.0010 per share. The rationale for the cap was to prevent order flow in Canadian securities migrating to U.S. marketplaces to avoid higher Canadian trading fees and to prevent potential share price distortions that may result from the combination of reduced minimum trading increments and high trading fees. However, there was little consensus among commenters on whether a trading fee cap of $0.0010 per share or alternative fee caps were more appropriate or would be effective in keeping order flow in Canada. Some commenters supported a trading fee cap of $0.0010, while the others supported trading fee caps ranging from $0.0017 to $0.0030 per share, while some supported removing the fee cap entirely. In particular, some commenters warned that a $0.0010 cap would make it more difficult for Canadian marketplaces to compete for order flow by offering higher rebates.</w:t>
      </w:r>
    </w:p>
    <w:p>
      <w:pPr>
        <w:pStyle w:val="Style12"/>
        <w:keepNext w:val="0"/>
        <w:keepLines w:val="0"/>
        <w:widowControl w:val="0"/>
        <w:shd w:val="clear" w:color="auto" w:fill="auto"/>
        <w:bidi w:val="0"/>
        <w:spacing w:line="240" w:lineRule="auto"/>
        <w:ind w:left="0" w:firstLine="0"/>
        <w:jc w:val="left"/>
      </w:pPr>
      <w:r>
        <w:rPr>
          <w:rStyle w:val="CharStyle13"/>
        </w:rPr>
        <w:t>Adopting a $0.0017 trading fee cap for U.S. Inter-listed Securities lowers the trading fee cap from the existing $0.0030 per share while better approximating the Canadian dollar equivalent of the U.S. fee cap of USD $0.0010 (which is approximately CAD $0.0014 at current exchange rates), reflecting the current foreign exchange rate and providing marketplaces greater flexibility in setting their respective fee schedules. Additionally, a CAD $0.0017 trading fee cap for U.S. Inter</w:t>
        <w:softHyphen/>
        <w:t>listed Securities creates a more simplified fee cap regime as that fee cap aligns with the cap for non-U.S. Inter-listed Securities.</w:t>
      </w:r>
    </w:p>
    <w:p>
      <w:pPr>
        <w:pStyle w:val="Style12"/>
        <w:keepNext w:val="0"/>
        <w:keepLines w:val="0"/>
        <w:widowControl w:val="0"/>
        <w:shd w:val="clear" w:color="auto" w:fill="auto"/>
        <w:bidi w:val="0"/>
        <w:spacing w:line="240" w:lineRule="auto"/>
        <w:ind w:left="0" w:firstLine="0"/>
        <w:jc w:val="left"/>
      </w:pPr>
      <w:r>
        <w:rPr>
          <w:rStyle w:val="CharStyle13"/>
        </w:rPr>
        <w:t>The change from a $0.0010 to a $0.0017 fee cap is appropriate because:</w:t>
      </w:r>
    </w:p>
    <w:p>
      <w:pPr>
        <w:pStyle w:val="Style12"/>
        <w:keepNext w:val="0"/>
        <w:keepLines w:val="0"/>
        <w:widowControl w:val="0"/>
        <w:shd w:val="clear" w:color="auto" w:fill="auto"/>
        <w:bidi w:val="0"/>
        <w:spacing w:line="223" w:lineRule="auto"/>
        <w:ind w:left="0" w:firstLine="360"/>
        <w:jc w:val="left"/>
      </w:pPr>
      <w:r>
        <w:rPr>
          <w:rStyle w:val="CharStyle13"/>
          <w:rFonts w:ascii="Courier New" w:eastAsia="Courier New" w:hAnsi="Courier New" w:cs="Courier New"/>
        </w:rPr>
        <w:t xml:space="preserve">o </w:t>
      </w:r>
      <w:r>
        <w:rPr>
          <w:rStyle w:val="CharStyle13"/>
        </w:rPr>
        <w:t>the higher fee cap gives marketplaces greater flexibility in setting trading fees,</w:t>
      </w:r>
    </w:p>
    <w:p>
      <w:pPr>
        <w:pStyle w:val="Style12"/>
        <w:keepNext w:val="0"/>
        <w:keepLines w:val="0"/>
        <w:widowControl w:val="0"/>
        <w:shd w:val="clear" w:color="auto" w:fill="auto"/>
        <w:bidi w:val="0"/>
        <w:spacing w:line="240" w:lineRule="auto"/>
        <w:ind w:left="360" w:hanging="360"/>
        <w:jc w:val="left"/>
      </w:pPr>
      <w:r>
        <w:rPr>
          <w:rStyle w:val="CharStyle13"/>
          <w:rFonts w:ascii="Courier New" w:eastAsia="Courier New" w:hAnsi="Courier New" w:cs="Courier New"/>
        </w:rPr>
        <w:t xml:space="preserve">o </w:t>
      </w:r>
      <w:r>
        <w:rPr>
          <w:rStyle w:val="CharStyle13"/>
        </w:rPr>
        <w:t>it does not result in a fee cap that is materially higher than the U.S. cap taking into account foreign exchange rates and is thus consistent with the rationale for lowering the fee cap for inter-listed securities, and</w:t>
      </w:r>
    </w:p>
    <w:p>
      <w:pPr>
        <w:pStyle w:val="Style12"/>
        <w:keepNext w:val="0"/>
        <w:keepLines w:val="0"/>
        <w:widowControl w:val="0"/>
        <w:shd w:val="clear" w:color="auto" w:fill="auto"/>
        <w:bidi w:val="0"/>
        <w:spacing w:line="240" w:lineRule="auto"/>
        <w:ind w:left="360" w:hanging="360"/>
        <w:jc w:val="left"/>
      </w:pPr>
      <w:r>
        <w:rPr>
          <w:rStyle w:val="CharStyle13"/>
          <w:rFonts w:ascii="Courier New" w:eastAsia="Courier New" w:hAnsi="Courier New" w:cs="Courier New"/>
        </w:rPr>
        <w:t xml:space="preserve">o </w:t>
      </w:r>
      <w:r>
        <w:rPr>
          <w:rStyle w:val="CharStyle13"/>
        </w:rPr>
        <w:t>the Request for Comment specifically asked whether a $0.0017 fee cap was more appropriate than the proposed $0.0010 fee cap and, as evidenced in Annex E, there was some support for a $0.0017 fee cap.</w:t>
      </w:r>
    </w:p>
    <w:p>
      <w:pPr>
        <w:pStyle w:val="Style12"/>
        <w:keepNext w:val="0"/>
        <w:keepLines w:val="0"/>
        <w:widowControl w:val="0"/>
        <w:shd w:val="clear" w:color="auto" w:fill="auto"/>
        <w:bidi w:val="0"/>
        <w:spacing w:line="240" w:lineRule="auto"/>
        <w:ind w:left="0" w:firstLine="0"/>
        <w:jc w:val="left"/>
      </w:pPr>
      <w:r>
        <w:rPr>
          <w:rStyle w:val="CharStyle13"/>
          <w:b/>
          <w:bCs/>
        </w:rPr>
        <w:t>Annexes</w:t>
      </w:r>
    </w:p>
    <w:p>
      <w:pPr>
        <w:pStyle w:val="Style12"/>
        <w:keepNext w:val="0"/>
        <w:keepLines w:val="0"/>
        <w:widowControl w:val="0"/>
        <w:numPr>
          <w:ilvl w:val="0"/>
          <w:numId w:val="1"/>
        </w:numPr>
        <w:shd w:val="clear" w:color="auto" w:fill="auto"/>
        <w:tabs>
          <w:tab w:pos="726" w:val="left"/>
        </w:tabs>
        <w:bidi w:val="0"/>
        <w:spacing w:line="223" w:lineRule="auto"/>
        <w:ind w:left="0" w:firstLine="360"/>
        <w:jc w:val="left"/>
      </w:pPr>
      <w:r>
        <w:rPr>
          <w:rStyle w:val="CharStyle13"/>
        </w:rPr>
        <w:t xml:space="preserve">Annex A – Amendments to National Instrument 23-101 </w:t>
      </w:r>
      <w:r>
        <w:rPr>
          <w:rStyle w:val="CharStyle13"/>
          <w:i/>
          <w:iCs/>
        </w:rPr>
        <w:t>Trading Rules</w:t>
      </w:r>
    </w:p>
    <w:p>
      <w:pPr>
        <w:pStyle w:val="Style12"/>
        <w:keepNext w:val="0"/>
        <w:keepLines w:val="0"/>
        <w:widowControl w:val="0"/>
        <w:numPr>
          <w:ilvl w:val="0"/>
          <w:numId w:val="1"/>
        </w:numPr>
        <w:shd w:val="clear" w:color="auto" w:fill="auto"/>
        <w:tabs>
          <w:tab w:pos="726" w:val="left"/>
        </w:tabs>
        <w:bidi w:val="0"/>
        <w:spacing w:line="223" w:lineRule="auto"/>
        <w:ind w:left="0" w:firstLine="360"/>
        <w:jc w:val="left"/>
      </w:pPr>
      <w:r>
        <w:rPr>
          <w:rStyle w:val="CharStyle13"/>
        </w:rPr>
        <w:t xml:space="preserve">Annex B – Changes to Companion Policy 23-101 </w:t>
      </w:r>
      <w:r>
        <w:rPr>
          <w:rStyle w:val="CharStyle13"/>
          <w:i/>
          <w:iCs/>
        </w:rPr>
        <w:t>Trading Rules</w:t>
      </w:r>
    </w:p>
    <w:p>
      <w:pPr>
        <w:pStyle w:val="Style12"/>
        <w:keepNext w:val="0"/>
        <w:keepLines w:val="0"/>
        <w:widowControl w:val="0"/>
        <w:numPr>
          <w:ilvl w:val="0"/>
          <w:numId w:val="1"/>
        </w:numPr>
        <w:shd w:val="clear" w:color="auto" w:fill="auto"/>
        <w:tabs>
          <w:tab w:pos="726" w:val="left"/>
        </w:tabs>
        <w:bidi w:val="0"/>
        <w:spacing w:line="223" w:lineRule="auto"/>
        <w:ind w:left="0" w:firstLine="360"/>
        <w:jc w:val="left"/>
      </w:pPr>
      <w:r>
        <w:rPr>
          <w:rStyle w:val="CharStyle13"/>
        </w:rPr>
        <w:t xml:space="preserve">Annex C – Blackline Showing Amendments to National Instrument 23-101 </w:t>
      </w:r>
      <w:r>
        <w:rPr>
          <w:rStyle w:val="CharStyle13"/>
          <w:i/>
          <w:iCs/>
        </w:rPr>
        <w:t>Trading Rules</w:t>
      </w:r>
    </w:p>
    <w:p>
      <w:pPr>
        <w:pStyle w:val="Style12"/>
        <w:keepNext w:val="0"/>
        <w:keepLines w:val="0"/>
        <w:widowControl w:val="0"/>
        <w:numPr>
          <w:ilvl w:val="0"/>
          <w:numId w:val="1"/>
        </w:numPr>
        <w:shd w:val="clear" w:color="auto" w:fill="auto"/>
        <w:tabs>
          <w:tab w:pos="726" w:val="left"/>
        </w:tabs>
        <w:bidi w:val="0"/>
        <w:spacing w:line="223" w:lineRule="auto"/>
        <w:ind w:left="0" w:firstLine="360"/>
        <w:jc w:val="left"/>
      </w:pPr>
      <w:r>
        <w:rPr>
          <w:rStyle w:val="CharStyle13"/>
        </w:rPr>
        <w:t xml:space="preserve">Annex D - Blackline Showing Changes to Companion Policy 23-101 </w:t>
      </w:r>
      <w:r>
        <w:rPr>
          <w:rStyle w:val="CharStyle13"/>
          <w:i/>
          <w:iCs/>
        </w:rPr>
        <w:t>Trading Rules</w:t>
      </w:r>
    </w:p>
    <w:p>
      <w:pPr>
        <w:pStyle w:val="Style12"/>
        <w:keepNext w:val="0"/>
        <w:keepLines w:val="0"/>
        <w:widowControl w:val="0"/>
        <w:numPr>
          <w:ilvl w:val="0"/>
          <w:numId w:val="1"/>
        </w:numPr>
        <w:shd w:val="clear" w:color="auto" w:fill="auto"/>
        <w:tabs>
          <w:tab w:pos="726" w:val="left"/>
        </w:tabs>
        <w:bidi w:val="0"/>
        <w:spacing w:line="223" w:lineRule="auto"/>
        <w:ind w:left="0" w:firstLine="360"/>
        <w:jc w:val="left"/>
      </w:pPr>
      <w:r>
        <w:rPr>
          <w:rStyle w:val="CharStyle13"/>
        </w:rPr>
        <w:t>Annex E – Summary of Comments and CSA Responses</w:t>
      </w:r>
    </w:p>
    <w:p>
      <w:pPr>
        <w:pStyle w:val="Style12"/>
        <w:keepNext w:val="0"/>
        <w:keepLines w:val="0"/>
        <w:widowControl w:val="0"/>
        <w:numPr>
          <w:ilvl w:val="0"/>
          <w:numId w:val="1"/>
        </w:numPr>
        <w:shd w:val="clear" w:color="auto" w:fill="auto"/>
        <w:tabs>
          <w:tab w:pos="726" w:val="left"/>
        </w:tabs>
        <w:bidi w:val="0"/>
        <w:spacing w:line="223" w:lineRule="auto"/>
        <w:ind w:left="0" w:firstLine="360"/>
        <w:jc w:val="left"/>
      </w:pPr>
      <w:r>
        <w:rPr>
          <w:rStyle w:val="CharStyle13"/>
        </w:rPr>
        <w:t>Annex F – Local matters (where applicable)</w:t>
      </w:r>
    </w:p>
    <w:p>
      <w:pPr>
        <w:pStyle w:val="Style12"/>
        <w:keepNext w:val="0"/>
        <w:keepLines w:val="0"/>
        <w:widowControl w:val="0"/>
        <w:shd w:val="clear" w:color="auto" w:fill="auto"/>
        <w:bidi w:val="0"/>
        <w:spacing w:line="240" w:lineRule="auto"/>
        <w:ind w:left="0" w:firstLine="0"/>
        <w:jc w:val="left"/>
      </w:pPr>
      <w:r>
        <w:rPr>
          <w:rStyle w:val="CharStyle13"/>
          <w:b/>
          <w:bCs/>
        </w:rPr>
        <w:t>Questions</w:t>
      </w:r>
    </w:p>
    <w:p>
      <w:pPr>
        <w:pStyle w:val="Style12"/>
        <w:keepNext w:val="0"/>
        <w:keepLines w:val="0"/>
        <w:widowControl w:val="0"/>
        <w:shd w:val="clear" w:color="auto" w:fill="auto"/>
        <w:bidi w:val="0"/>
        <w:spacing w:line="240" w:lineRule="auto"/>
        <w:ind w:left="0" w:firstLine="0"/>
        <w:jc w:val="left"/>
      </w:pPr>
      <w:r>
        <w:rPr>
          <w:rStyle w:val="CharStyle13"/>
        </w:rPr>
        <w:t>Please refer your questions to any of the following:</w:t>
      </w:r>
    </w:p>
    <w:tbl>
      <w:tblPr>
        <w:tblOverlap w:val="never"/>
        <w:jc w:val="left"/>
        <w:tblLayout w:type="fixed"/>
      </w:tblPr>
      <w:tblGrid>
        <w:gridCol w:w="4382"/>
        <w:gridCol w:w="4406"/>
      </w:tblGrid>
      <w:tr>
        <w:trPr>
          <w:trHeight w:val="1224"/>
        </w:trPr>
        <w:tc>
          <w:tcPr>
            <w:tcBorders/>
            <w:shd w:val="clear" w:color="auto" w:fill="auto"/>
            <w:vAlign w:val="top"/>
          </w:tcPr>
          <w:p>
            <w:pPr>
              <w:pStyle w:val="Style20"/>
              <w:keepNext w:val="0"/>
              <w:keepLines w:val="0"/>
              <w:widowControl w:val="0"/>
              <w:shd w:val="clear" w:color="auto" w:fill="auto"/>
              <w:bidi w:val="0"/>
              <w:spacing w:line="240" w:lineRule="auto"/>
              <w:ind w:left="0" w:firstLine="0"/>
              <w:jc w:val="left"/>
            </w:pPr>
            <w:r>
              <w:rPr>
                <w:rStyle w:val="CharStyle21"/>
              </w:rPr>
              <w:t>Mark Delloro</w:t>
            </w:r>
          </w:p>
          <w:p>
            <w:pPr>
              <w:pStyle w:val="Style20"/>
              <w:keepNext w:val="0"/>
              <w:keepLines w:val="0"/>
              <w:widowControl w:val="0"/>
              <w:shd w:val="clear" w:color="auto" w:fill="auto"/>
              <w:bidi w:val="0"/>
              <w:spacing w:line="240" w:lineRule="auto"/>
              <w:ind w:left="0" w:firstLine="0"/>
              <w:jc w:val="left"/>
            </w:pPr>
            <w:r>
              <w:rPr>
                <w:rStyle w:val="CharStyle21"/>
              </w:rPr>
              <w:t>Senior Accountant, Trading &amp; Markets</w:t>
            </w:r>
          </w:p>
          <w:p>
            <w:pPr>
              <w:pStyle w:val="Style20"/>
              <w:keepNext w:val="0"/>
              <w:keepLines w:val="0"/>
              <w:widowControl w:val="0"/>
              <w:shd w:val="clear" w:color="auto" w:fill="auto"/>
              <w:bidi w:val="0"/>
              <w:spacing w:line="240" w:lineRule="auto"/>
              <w:ind w:left="0" w:firstLine="0"/>
              <w:jc w:val="left"/>
            </w:pPr>
            <w:r>
              <w:rPr>
                <w:rStyle w:val="CharStyle21"/>
              </w:rPr>
              <w:t>Ontario Securities Commission</w:t>
            </w:r>
          </w:p>
          <w:p>
            <w:pPr>
              <w:pStyle w:val="Style20"/>
              <w:keepNext w:val="0"/>
              <w:keepLines w:val="0"/>
              <w:widowControl w:val="0"/>
              <w:shd w:val="clear" w:color="auto" w:fill="auto"/>
              <w:bidi w:val="0"/>
              <w:spacing w:line="240" w:lineRule="auto"/>
              <w:ind w:left="0" w:firstLine="0"/>
              <w:jc w:val="left"/>
            </w:pPr>
            <w:r>
              <w:fldChar w:fldCharType="begin"/>
            </w:r>
            <w:r>
              <w:rPr/>
              <w:instrText> HYPERLINK "mailto:tbaikie@osc.gov.on.ca" </w:instrText>
            </w:r>
            <w:r>
              <w:fldChar w:fldCharType="separate"/>
            </w:r>
            <w:r>
              <w:rPr>
                <w:rStyle w:val="CharStyle21"/>
                <w:color w:val="0000FF"/>
                <w:u w:val="single"/>
              </w:rPr>
              <w:t>mdelloro@osc.gov.on.ca</w:t>
            </w:r>
            <w:r>
              <w:fldChar w:fldCharType="end"/>
            </w:r>
          </w:p>
        </w:tc>
        <w:tc>
          <w:tcPr>
            <w:tcBorders/>
            <w:shd w:val="clear" w:color="auto" w:fill="auto"/>
            <w:vAlign w:val="top"/>
          </w:tcPr>
          <w:p>
            <w:pPr>
              <w:pStyle w:val="Style20"/>
              <w:keepNext w:val="0"/>
              <w:keepLines w:val="0"/>
              <w:widowControl w:val="0"/>
              <w:shd w:val="clear" w:color="auto" w:fill="auto"/>
              <w:bidi w:val="0"/>
              <w:spacing w:line="240" w:lineRule="auto"/>
              <w:ind w:left="0" w:firstLine="360"/>
              <w:jc w:val="left"/>
            </w:pPr>
            <w:r>
              <w:rPr>
                <w:rStyle w:val="CharStyle21"/>
              </w:rPr>
              <w:t>Tim Baikie</w:t>
            </w:r>
          </w:p>
          <w:p>
            <w:pPr>
              <w:pStyle w:val="Style20"/>
              <w:keepNext w:val="0"/>
              <w:keepLines w:val="0"/>
              <w:widowControl w:val="0"/>
              <w:shd w:val="clear" w:color="auto" w:fill="auto"/>
              <w:bidi w:val="0"/>
              <w:spacing w:line="240" w:lineRule="auto"/>
              <w:ind w:left="0" w:firstLine="360"/>
              <w:jc w:val="left"/>
            </w:pPr>
            <w:r>
              <w:rPr>
                <w:rStyle w:val="CharStyle21"/>
              </w:rPr>
              <w:t>Senior Legal Counsel, Trading &amp; Markets</w:t>
            </w:r>
          </w:p>
          <w:p>
            <w:pPr>
              <w:pStyle w:val="Style20"/>
              <w:keepNext w:val="0"/>
              <w:keepLines w:val="0"/>
              <w:widowControl w:val="0"/>
              <w:shd w:val="clear" w:color="auto" w:fill="auto"/>
              <w:bidi w:val="0"/>
              <w:spacing w:line="240" w:lineRule="auto"/>
              <w:ind w:left="0" w:firstLine="360"/>
              <w:jc w:val="left"/>
            </w:pPr>
            <w:r>
              <w:rPr>
                <w:rStyle w:val="CharStyle21"/>
              </w:rPr>
              <w:t>Ontario Securities Commission</w:t>
            </w:r>
          </w:p>
          <w:p>
            <w:pPr>
              <w:pStyle w:val="Style20"/>
              <w:keepNext w:val="0"/>
              <w:keepLines w:val="0"/>
              <w:widowControl w:val="0"/>
              <w:shd w:val="clear" w:color="auto" w:fill="auto"/>
              <w:bidi w:val="0"/>
              <w:spacing w:line="240" w:lineRule="auto"/>
              <w:ind w:left="0" w:firstLine="360"/>
              <w:jc w:val="left"/>
            </w:pPr>
            <w:r>
              <w:fldChar w:fldCharType="begin"/>
            </w:r>
            <w:r>
              <w:rPr/>
              <w:instrText> HYPERLINK "mailto:tbaikie@osc.gov.on.ca" </w:instrText>
            </w:r>
            <w:r>
              <w:fldChar w:fldCharType="separate"/>
            </w:r>
            <w:r>
              <w:rPr>
                <w:rStyle w:val="CharStyle21"/>
                <w:color w:val="0000FF"/>
                <w:u w:val="single"/>
              </w:rPr>
              <w:t>tbaikie@osc.gov.on.ca</w:t>
            </w:r>
            <w:r>
              <w:fldChar w:fldCharType="end"/>
            </w:r>
          </w:p>
        </w:tc>
      </w:tr>
      <w:tr>
        <w:trPr>
          <w:trHeight w:val="398"/>
        </w:trPr>
        <w:tc>
          <w:tcPr>
            <w:tcBorders/>
            <w:shd w:val="clear" w:color="auto" w:fill="auto"/>
            <w:vAlign w:val="bottom"/>
          </w:tcPr>
          <w:p>
            <w:pPr>
              <w:pStyle w:val="Style20"/>
              <w:keepNext w:val="0"/>
              <w:keepLines w:val="0"/>
              <w:widowControl w:val="0"/>
              <w:shd w:val="clear" w:color="auto" w:fill="auto"/>
              <w:bidi w:val="0"/>
              <w:spacing w:line="240" w:lineRule="auto"/>
              <w:ind w:left="0" w:firstLine="0"/>
              <w:jc w:val="left"/>
            </w:pPr>
            <w:r>
              <w:rPr>
                <w:rStyle w:val="CharStyle21"/>
              </w:rPr>
              <w:t>Alex Petro</w:t>
            </w:r>
          </w:p>
        </w:tc>
        <w:tc>
          <w:tcPr>
            <w:tcBorders/>
            <w:shd w:val="clear" w:color="auto" w:fill="auto"/>
            <w:vAlign w:val="bottom"/>
          </w:tcPr>
          <w:p>
            <w:pPr>
              <w:pStyle w:val="Style20"/>
              <w:keepNext w:val="0"/>
              <w:keepLines w:val="0"/>
              <w:widowControl w:val="0"/>
              <w:shd w:val="clear" w:color="auto" w:fill="auto"/>
              <w:bidi w:val="0"/>
              <w:spacing w:line="240" w:lineRule="auto"/>
              <w:ind w:left="0" w:firstLine="360"/>
              <w:jc w:val="left"/>
            </w:pPr>
            <w:r>
              <w:rPr>
                <w:rStyle w:val="CharStyle21"/>
              </w:rPr>
              <w:t>Xavier Boulet</w:t>
            </w:r>
          </w:p>
        </w:tc>
      </w:tr>
      <w:tr>
        <w:trPr>
          <w:trHeight w:val="557"/>
        </w:trPr>
        <w:tc>
          <w:tcPr>
            <w:tcBorders/>
            <w:shd w:val="clear" w:color="auto" w:fill="auto"/>
            <w:vAlign w:val="bottom"/>
          </w:tcPr>
          <w:p>
            <w:pPr>
              <w:pStyle w:val="Style20"/>
              <w:keepNext w:val="0"/>
              <w:keepLines w:val="0"/>
              <w:widowControl w:val="0"/>
              <w:shd w:val="clear" w:color="auto" w:fill="auto"/>
              <w:bidi w:val="0"/>
              <w:spacing w:line="240" w:lineRule="auto"/>
              <w:ind w:left="0" w:firstLine="0"/>
              <w:jc w:val="left"/>
            </w:pPr>
            <w:r>
              <w:rPr>
                <w:rStyle w:val="CharStyle21"/>
              </w:rPr>
              <w:t>Trading Specialist, Trading &amp; Markets</w:t>
            </w:r>
          </w:p>
          <w:p>
            <w:pPr>
              <w:pStyle w:val="Style20"/>
              <w:keepNext w:val="0"/>
              <w:keepLines w:val="0"/>
              <w:widowControl w:val="0"/>
              <w:shd w:val="clear" w:color="auto" w:fill="auto"/>
              <w:bidi w:val="0"/>
              <w:spacing w:line="240" w:lineRule="auto"/>
              <w:ind w:left="0" w:firstLine="0"/>
              <w:jc w:val="left"/>
            </w:pPr>
            <w:r>
              <w:rPr>
                <w:rStyle w:val="CharStyle21"/>
              </w:rPr>
              <w:t>Ontario Securities Commission</w:t>
            </w:r>
          </w:p>
        </w:tc>
        <w:tc>
          <w:tcPr>
            <w:tcBorders/>
            <w:shd w:val="clear" w:color="auto" w:fill="auto"/>
            <w:vAlign w:val="bottom"/>
          </w:tcPr>
          <w:p>
            <w:pPr>
              <w:pStyle w:val="Style20"/>
              <w:keepNext w:val="0"/>
              <w:keepLines w:val="0"/>
              <w:widowControl w:val="0"/>
              <w:shd w:val="clear" w:color="auto" w:fill="auto"/>
              <w:bidi w:val="0"/>
              <w:spacing w:line="240" w:lineRule="auto"/>
              <w:ind w:left="0" w:firstLine="360"/>
              <w:jc w:val="left"/>
            </w:pPr>
            <w:r>
              <w:rPr>
                <w:rStyle w:val="CharStyle21"/>
              </w:rPr>
              <w:t>Senior Policy Advisor</w:t>
            </w:r>
          </w:p>
          <w:p>
            <w:pPr>
              <w:pStyle w:val="Style20"/>
              <w:keepNext w:val="0"/>
              <w:keepLines w:val="0"/>
              <w:widowControl w:val="0"/>
              <w:shd w:val="clear" w:color="auto" w:fill="auto"/>
              <w:bidi w:val="0"/>
              <w:spacing w:line="240" w:lineRule="auto"/>
              <w:ind w:left="0" w:firstLine="360"/>
              <w:jc w:val="left"/>
            </w:pPr>
            <w:r>
              <w:rPr>
                <w:rStyle w:val="CharStyle21"/>
              </w:rPr>
              <w:t>Direction de l'encadrement des activités de</w:t>
            </w:r>
          </w:p>
        </w:tc>
      </w:tr>
      <w:tr>
        <w:trPr>
          <w:trHeight w:val="998"/>
        </w:trPr>
        <w:tc>
          <w:tcPr>
            <w:tcBorders/>
            <w:shd w:val="clear" w:color="auto" w:fill="auto"/>
            <w:vAlign w:val="top"/>
          </w:tcPr>
          <w:p>
            <w:pPr>
              <w:pStyle w:val="Style20"/>
              <w:keepNext w:val="0"/>
              <w:keepLines w:val="0"/>
              <w:widowControl w:val="0"/>
              <w:shd w:val="clear" w:color="auto" w:fill="auto"/>
              <w:bidi w:val="0"/>
              <w:spacing w:line="240" w:lineRule="auto"/>
              <w:ind w:left="0" w:firstLine="0"/>
              <w:jc w:val="left"/>
            </w:pPr>
            <w:r>
              <w:fldChar w:fldCharType="begin"/>
            </w:r>
            <w:r>
              <w:rPr/>
              <w:instrText> HYPERLINK "mailto:apetro@osc.gov.on.ca" </w:instrText>
            </w:r>
            <w:r>
              <w:fldChar w:fldCharType="separate"/>
            </w:r>
            <w:r>
              <w:rPr>
                <w:rStyle w:val="CharStyle21"/>
                <w:color w:val="0000FF"/>
                <w:u w:val="single"/>
              </w:rPr>
              <w:t>apetro@osc.gov.on.ca</w:t>
            </w:r>
            <w:r>
              <w:fldChar w:fldCharType="end"/>
            </w:r>
          </w:p>
        </w:tc>
        <w:tc>
          <w:tcPr>
            <w:tcBorders/>
            <w:shd w:val="clear" w:color="auto" w:fill="auto"/>
            <w:vAlign w:val="top"/>
          </w:tcPr>
          <w:p>
            <w:pPr>
              <w:pStyle w:val="Style20"/>
              <w:keepNext w:val="0"/>
              <w:keepLines w:val="0"/>
              <w:widowControl w:val="0"/>
              <w:shd w:val="clear" w:color="auto" w:fill="auto"/>
              <w:bidi w:val="0"/>
              <w:spacing w:line="240" w:lineRule="auto"/>
              <w:ind w:left="0" w:firstLine="360"/>
              <w:jc w:val="left"/>
            </w:pPr>
            <w:r>
              <w:rPr>
                <w:rStyle w:val="CharStyle21"/>
              </w:rPr>
              <w:t>négociation</w:t>
            </w:r>
          </w:p>
          <w:p>
            <w:pPr>
              <w:pStyle w:val="Style20"/>
              <w:keepNext w:val="0"/>
              <w:keepLines w:val="0"/>
              <w:widowControl w:val="0"/>
              <w:shd w:val="clear" w:color="auto" w:fill="auto"/>
              <w:bidi w:val="0"/>
              <w:spacing w:line="240" w:lineRule="auto"/>
              <w:ind w:left="0" w:firstLine="360"/>
              <w:jc w:val="left"/>
            </w:pPr>
            <w:r>
              <w:rPr>
                <w:rStyle w:val="CharStyle21"/>
              </w:rPr>
              <w:t>Autorité des marchés financiers</w:t>
            </w:r>
          </w:p>
          <w:p>
            <w:pPr>
              <w:pStyle w:val="Style20"/>
              <w:keepNext w:val="0"/>
              <w:keepLines w:val="0"/>
              <w:widowControl w:val="0"/>
              <w:shd w:val="clear" w:color="auto" w:fill="auto"/>
              <w:bidi w:val="0"/>
              <w:spacing w:line="240" w:lineRule="auto"/>
              <w:ind w:left="0" w:firstLine="360"/>
              <w:jc w:val="left"/>
            </w:pPr>
            <w:r>
              <w:fldChar w:fldCharType="begin"/>
            </w:r>
            <w:r>
              <w:rPr/>
              <w:instrText> HYPERLINK "mailto:xavier.boulet@lautorite.qc.ca" </w:instrText>
            </w:r>
            <w:r>
              <w:fldChar w:fldCharType="separate"/>
            </w:r>
            <w:r>
              <w:rPr>
                <w:rStyle w:val="CharStyle21"/>
                <w:color w:val="0000FF"/>
                <w:u w:val="single"/>
              </w:rPr>
              <w:t>xavier.boulet@lautorite.qc.ca</w:t>
            </w:r>
            <w:r>
              <w:fldChar w:fldCharType="end"/>
            </w:r>
          </w:p>
        </w:tc>
      </w:tr>
      <w:tr>
        <w:trPr>
          <w:trHeight w:val="955"/>
        </w:trPr>
        <w:tc>
          <w:tcPr>
            <w:tcBorders/>
            <w:shd w:val="clear" w:color="auto" w:fill="auto"/>
            <w:vAlign w:val="bottom"/>
          </w:tcPr>
          <w:p>
            <w:pPr>
              <w:pStyle w:val="Style20"/>
              <w:keepNext w:val="0"/>
              <w:keepLines w:val="0"/>
              <w:widowControl w:val="0"/>
              <w:shd w:val="clear" w:color="auto" w:fill="auto"/>
              <w:bidi w:val="0"/>
              <w:spacing w:line="240" w:lineRule="auto"/>
              <w:ind w:left="0" w:firstLine="0"/>
              <w:jc w:val="left"/>
            </w:pPr>
            <w:r>
              <w:rPr>
                <w:rStyle w:val="CharStyle21"/>
              </w:rPr>
              <w:t>Serge Boisvert</w:t>
            </w:r>
          </w:p>
          <w:p>
            <w:pPr>
              <w:pStyle w:val="Style20"/>
              <w:keepNext w:val="0"/>
              <w:keepLines w:val="0"/>
              <w:widowControl w:val="0"/>
              <w:shd w:val="clear" w:color="auto" w:fill="auto"/>
              <w:bidi w:val="0"/>
              <w:spacing w:line="240" w:lineRule="auto"/>
              <w:ind w:left="0" w:firstLine="0"/>
              <w:jc w:val="left"/>
            </w:pPr>
            <w:r>
              <w:rPr>
                <w:rStyle w:val="CharStyle21"/>
              </w:rPr>
              <w:t>Senior Policy Coordinator</w:t>
            </w:r>
          </w:p>
          <w:p>
            <w:pPr>
              <w:pStyle w:val="Style20"/>
              <w:keepNext w:val="0"/>
              <w:keepLines w:val="0"/>
              <w:widowControl w:val="0"/>
              <w:shd w:val="clear" w:color="auto" w:fill="auto"/>
              <w:bidi w:val="0"/>
              <w:spacing w:line="240" w:lineRule="auto"/>
              <w:ind w:left="0" w:firstLine="0"/>
              <w:jc w:val="left"/>
            </w:pPr>
            <w:r>
              <w:rPr>
                <w:rStyle w:val="CharStyle21"/>
              </w:rPr>
              <w:t>Direction de l'encadrement des activités de</w:t>
            </w:r>
          </w:p>
        </w:tc>
        <w:tc>
          <w:tcPr>
            <w:tcBorders/>
            <w:shd w:val="clear" w:color="auto" w:fill="auto"/>
            <w:vAlign w:val="bottom"/>
          </w:tcPr>
          <w:p>
            <w:pPr>
              <w:pStyle w:val="Style20"/>
              <w:keepNext w:val="0"/>
              <w:keepLines w:val="0"/>
              <w:widowControl w:val="0"/>
              <w:shd w:val="clear" w:color="auto" w:fill="auto"/>
              <w:bidi w:val="0"/>
              <w:spacing w:line="240" w:lineRule="auto"/>
              <w:ind w:left="0" w:firstLine="360"/>
              <w:jc w:val="left"/>
            </w:pPr>
            <w:r>
              <w:rPr>
                <w:rStyle w:val="CharStyle21"/>
              </w:rPr>
              <w:t>Kim Legendre</w:t>
            </w:r>
          </w:p>
          <w:p>
            <w:pPr>
              <w:pStyle w:val="Style20"/>
              <w:keepNext w:val="0"/>
              <w:keepLines w:val="0"/>
              <w:widowControl w:val="0"/>
              <w:shd w:val="clear" w:color="auto" w:fill="auto"/>
              <w:bidi w:val="0"/>
              <w:spacing w:line="240" w:lineRule="auto"/>
              <w:ind w:left="0" w:firstLine="360"/>
              <w:jc w:val="left"/>
            </w:pPr>
            <w:r>
              <w:rPr>
                <w:rStyle w:val="CharStyle21"/>
              </w:rPr>
              <w:t>SRO Analyst</w:t>
            </w:r>
          </w:p>
          <w:p>
            <w:pPr>
              <w:pStyle w:val="Style20"/>
              <w:keepNext w:val="0"/>
              <w:keepLines w:val="0"/>
              <w:widowControl w:val="0"/>
              <w:shd w:val="clear" w:color="auto" w:fill="auto"/>
              <w:bidi w:val="0"/>
              <w:spacing w:line="240" w:lineRule="auto"/>
              <w:ind w:left="0" w:firstLine="360"/>
              <w:jc w:val="left"/>
            </w:pPr>
            <w:r>
              <w:rPr>
                <w:rStyle w:val="CharStyle21"/>
              </w:rPr>
              <w:t>Direction de l'encadrement des activités de</w:t>
            </w:r>
          </w:p>
        </w:tc>
      </w:tr>
      <w:tr>
        <w:trPr>
          <w:trHeight w:val="552"/>
        </w:trPr>
        <w:tc>
          <w:tcPr>
            <w:tcBorders/>
            <w:shd w:val="clear" w:color="auto" w:fill="auto"/>
            <w:vAlign w:val="bottom"/>
          </w:tcPr>
          <w:p>
            <w:pPr>
              <w:pStyle w:val="Style20"/>
              <w:keepNext w:val="0"/>
              <w:keepLines w:val="0"/>
              <w:widowControl w:val="0"/>
              <w:shd w:val="clear" w:color="auto" w:fill="auto"/>
              <w:bidi w:val="0"/>
              <w:spacing w:line="240" w:lineRule="auto"/>
              <w:ind w:left="0" w:firstLine="0"/>
              <w:jc w:val="left"/>
            </w:pPr>
            <w:r>
              <w:rPr>
                <w:rStyle w:val="CharStyle21"/>
              </w:rPr>
              <w:t>négociation</w:t>
            </w:r>
          </w:p>
          <w:p>
            <w:pPr>
              <w:pStyle w:val="Style20"/>
              <w:keepNext w:val="0"/>
              <w:keepLines w:val="0"/>
              <w:widowControl w:val="0"/>
              <w:shd w:val="clear" w:color="auto" w:fill="auto"/>
              <w:bidi w:val="0"/>
              <w:spacing w:line="240" w:lineRule="auto"/>
              <w:ind w:left="0" w:firstLine="0"/>
              <w:jc w:val="left"/>
            </w:pPr>
            <w:r>
              <w:rPr>
                <w:rStyle w:val="CharStyle21"/>
              </w:rPr>
              <w:t>Autorité des marchés financiers</w:t>
            </w:r>
          </w:p>
        </w:tc>
        <w:tc>
          <w:tcPr>
            <w:tcBorders/>
            <w:shd w:val="clear" w:color="auto" w:fill="auto"/>
            <w:vAlign w:val="bottom"/>
          </w:tcPr>
          <w:p>
            <w:pPr>
              <w:pStyle w:val="Style20"/>
              <w:keepNext w:val="0"/>
              <w:keepLines w:val="0"/>
              <w:widowControl w:val="0"/>
              <w:shd w:val="clear" w:color="auto" w:fill="auto"/>
              <w:bidi w:val="0"/>
              <w:spacing w:line="240" w:lineRule="auto"/>
              <w:ind w:left="0" w:firstLine="360"/>
              <w:jc w:val="left"/>
            </w:pPr>
            <w:r>
              <w:rPr>
                <w:rStyle w:val="CharStyle21"/>
              </w:rPr>
              <w:t>négociation</w:t>
            </w:r>
          </w:p>
          <w:p>
            <w:pPr>
              <w:pStyle w:val="Style20"/>
              <w:keepNext w:val="0"/>
              <w:keepLines w:val="0"/>
              <w:widowControl w:val="0"/>
              <w:shd w:val="clear" w:color="auto" w:fill="auto"/>
              <w:bidi w:val="0"/>
              <w:spacing w:line="240" w:lineRule="auto"/>
              <w:ind w:left="0" w:firstLine="360"/>
              <w:jc w:val="left"/>
            </w:pPr>
            <w:r>
              <w:rPr>
                <w:rStyle w:val="CharStyle21"/>
              </w:rPr>
              <w:t>Autorité des marchés financiers</w:t>
            </w:r>
          </w:p>
        </w:tc>
      </w:tr>
      <w:tr>
        <w:trPr>
          <w:trHeight w:val="274"/>
        </w:trPr>
        <w:tc>
          <w:tcPr>
            <w:tcBorders>
              <w:bottom w:val="single" w:sz="4"/>
            </w:tcBorders>
            <w:shd w:val="clear" w:color="auto" w:fill="auto"/>
            <w:vAlign w:val="bottom"/>
          </w:tcPr>
          <w:p>
            <w:pPr>
              <w:pStyle w:val="Style20"/>
              <w:keepNext w:val="0"/>
              <w:keepLines w:val="0"/>
              <w:widowControl w:val="0"/>
              <w:shd w:val="clear" w:color="auto" w:fill="auto"/>
              <w:bidi w:val="0"/>
              <w:spacing w:line="240" w:lineRule="auto"/>
              <w:ind w:left="0" w:firstLine="0"/>
              <w:jc w:val="left"/>
            </w:pPr>
            <w:r>
              <w:fldChar w:fldCharType="begin"/>
            </w:r>
            <w:r>
              <w:rPr/>
              <w:instrText> HYPERLINK "mailto:serge.boisvert@lautorite.qc.ca" </w:instrText>
            </w:r>
            <w:r>
              <w:fldChar w:fldCharType="separate"/>
            </w:r>
            <w:r>
              <w:rPr>
                <w:rStyle w:val="CharStyle21"/>
                <w:color w:val="0000FF"/>
              </w:rPr>
              <w:t>serge.boisvert@lautorite.qc.ca</w:t>
            </w:r>
            <w:r>
              <w:fldChar w:fldCharType="end"/>
            </w:r>
          </w:p>
        </w:tc>
        <w:tc>
          <w:tcPr>
            <w:tcBorders>
              <w:bottom w:val="single" w:sz="4"/>
            </w:tcBorders>
            <w:shd w:val="clear" w:color="auto" w:fill="auto"/>
            <w:vAlign w:val="bottom"/>
          </w:tcPr>
          <w:p>
            <w:pPr>
              <w:pStyle w:val="Style20"/>
              <w:keepNext w:val="0"/>
              <w:keepLines w:val="0"/>
              <w:widowControl w:val="0"/>
              <w:shd w:val="clear" w:color="auto" w:fill="auto"/>
              <w:bidi w:val="0"/>
              <w:spacing w:line="240" w:lineRule="auto"/>
              <w:ind w:left="0" w:firstLine="360"/>
              <w:jc w:val="left"/>
            </w:pPr>
            <w:r>
              <w:fldChar w:fldCharType="begin"/>
            </w:r>
            <w:r>
              <w:rPr/>
              <w:instrText> HYPERLINK "mailto:Kim.Legendre@lautorite.qc.ca" </w:instrText>
            </w:r>
            <w:r>
              <w:fldChar w:fldCharType="separate"/>
            </w:r>
            <w:r>
              <w:rPr>
                <w:rStyle w:val="CharStyle21"/>
                <w:color w:val="0000FF"/>
              </w:rPr>
              <w:t>Kim.Legendre@lautorite.qc.ca</w:t>
            </w:r>
            <w:r>
              <w:fldChar w:fldCharType="end"/>
            </w:r>
          </w:p>
        </w:tc>
      </w:tr>
    </w:tbl>
    <w:p>
      <w:pPr>
        <w:widowControl w:val="0"/>
        <w:spacing w:after="339" w:line="1" w:lineRule="exact"/>
      </w:pPr>
    </w:p>
    <w:p>
      <w:pPr>
        <w:widowControl w:val="0"/>
        <w:spacing w:line="1" w:lineRule="exact"/>
      </w:pPr>
    </w:p>
    <w:tbl>
      <w:tblPr>
        <w:tblOverlap w:val="never"/>
        <w:jc w:val="left"/>
        <w:tblLayout w:type="fixed"/>
      </w:tblPr>
      <w:tblGrid>
        <w:gridCol w:w="4022"/>
        <w:gridCol w:w="4603"/>
      </w:tblGrid>
      <w:tr>
        <w:trPr>
          <w:trHeight w:val="250"/>
        </w:trPr>
        <w:tc>
          <w:tcPr>
            <w:tcBorders/>
            <w:shd w:val="clear" w:color="auto" w:fill="auto"/>
            <w:vAlign w:val="top"/>
          </w:tcPr>
          <w:p>
            <w:pPr>
              <w:pStyle w:val="Style20"/>
              <w:keepNext w:val="0"/>
              <w:keepLines w:val="0"/>
              <w:widowControl w:val="0"/>
              <w:shd w:val="clear" w:color="auto" w:fill="auto"/>
              <w:bidi w:val="0"/>
              <w:spacing w:line="240" w:lineRule="auto"/>
              <w:ind w:left="0" w:firstLine="0"/>
              <w:jc w:val="left"/>
            </w:pPr>
            <w:r>
              <w:rPr>
                <w:rStyle w:val="CharStyle21"/>
              </w:rPr>
              <w:t>Jesse Ahlan</w:t>
            </w:r>
          </w:p>
        </w:tc>
        <w:tc>
          <w:tcPr>
            <w:tcBorders/>
            <w:shd w:val="clear" w:color="auto" w:fill="auto"/>
            <w:vAlign w:val="top"/>
          </w:tcPr>
          <w:p>
            <w:pPr>
              <w:pStyle w:val="Style20"/>
              <w:keepNext w:val="0"/>
              <w:keepLines w:val="0"/>
              <w:widowControl w:val="0"/>
              <w:shd w:val="clear" w:color="auto" w:fill="auto"/>
              <w:bidi w:val="0"/>
              <w:spacing w:line="240" w:lineRule="auto"/>
              <w:ind w:left="0" w:firstLine="360"/>
              <w:jc w:val="left"/>
            </w:pPr>
            <w:r>
              <w:rPr>
                <w:rStyle w:val="CharStyle21"/>
              </w:rPr>
              <w:t>Navdeep Gill</w:t>
            </w:r>
          </w:p>
        </w:tc>
      </w:tr>
      <w:tr>
        <w:trPr>
          <w:trHeight w:val="274"/>
        </w:trPr>
        <w:tc>
          <w:tcPr>
            <w:tcBorders/>
            <w:shd w:val="clear" w:color="auto" w:fill="auto"/>
            <w:vAlign w:val="bottom"/>
          </w:tcPr>
          <w:p>
            <w:pPr>
              <w:pStyle w:val="Style20"/>
              <w:keepNext w:val="0"/>
              <w:keepLines w:val="0"/>
              <w:widowControl w:val="0"/>
              <w:shd w:val="clear" w:color="auto" w:fill="auto"/>
              <w:bidi w:val="0"/>
              <w:spacing w:line="240" w:lineRule="auto"/>
              <w:ind w:left="0" w:firstLine="0"/>
              <w:jc w:val="left"/>
            </w:pPr>
            <w:r>
              <w:rPr>
                <w:rStyle w:val="CharStyle21"/>
              </w:rPr>
              <w:t>Senior Regulatory Analyst, Market</w:t>
            </w:r>
          </w:p>
        </w:tc>
        <w:tc>
          <w:tcPr>
            <w:tcBorders/>
            <w:shd w:val="clear" w:color="auto" w:fill="auto"/>
            <w:vAlign w:val="bottom"/>
          </w:tcPr>
          <w:p>
            <w:pPr>
              <w:pStyle w:val="Style20"/>
              <w:keepNext w:val="0"/>
              <w:keepLines w:val="0"/>
              <w:widowControl w:val="0"/>
              <w:shd w:val="clear" w:color="auto" w:fill="auto"/>
              <w:bidi w:val="0"/>
              <w:spacing w:line="240" w:lineRule="auto"/>
              <w:ind w:left="0" w:firstLine="360"/>
              <w:jc w:val="left"/>
            </w:pPr>
            <w:r>
              <w:rPr>
                <w:rStyle w:val="CharStyle21"/>
              </w:rPr>
              <w:t>Senior Legal Counsel</w:t>
            </w:r>
          </w:p>
        </w:tc>
      </w:tr>
      <w:tr>
        <w:trPr>
          <w:trHeight w:val="245"/>
        </w:trPr>
        <w:tc>
          <w:tcPr>
            <w:tcBorders/>
            <w:shd w:val="clear" w:color="auto" w:fill="auto"/>
            <w:vAlign w:val="top"/>
          </w:tcPr>
          <w:p>
            <w:pPr>
              <w:pStyle w:val="Style20"/>
              <w:keepNext w:val="0"/>
              <w:keepLines w:val="0"/>
              <w:widowControl w:val="0"/>
              <w:shd w:val="clear" w:color="auto" w:fill="auto"/>
              <w:bidi w:val="0"/>
              <w:spacing w:line="240" w:lineRule="auto"/>
              <w:ind w:left="0" w:firstLine="0"/>
              <w:jc w:val="left"/>
            </w:pPr>
            <w:r>
              <w:rPr>
                <w:rStyle w:val="CharStyle21"/>
              </w:rPr>
              <w:t>Structure</w:t>
            </w:r>
          </w:p>
        </w:tc>
        <w:tc>
          <w:tcPr>
            <w:tcBorders/>
            <w:shd w:val="clear" w:color="auto" w:fill="auto"/>
            <w:vAlign w:val="top"/>
          </w:tcPr>
          <w:p>
            <w:pPr>
              <w:pStyle w:val="Style20"/>
              <w:keepNext w:val="0"/>
              <w:keepLines w:val="0"/>
              <w:widowControl w:val="0"/>
              <w:shd w:val="clear" w:color="auto" w:fill="auto"/>
              <w:bidi w:val="0"/>
              <w:spacing w:line="240" w:lineRule="auto"/>
              <w:ind w:left="0" w:firstLine="360"/>
              <w:jc w:val="left"/>
            </w:pPr>
            <w:r>
              <w:rPr>
                <w:rStyle w:val="CharStyle21"/>
              </w:rPr>
              <w:t>British Columbia Securities Commission</w:t>
            </w:r>
          </w:p>
        </w:tc>
      </w:tr>
      <w:tr>
        <w:trPr>
          <w:trHeight w:val="542"/>
        </w:trPr>
        <w:tc>
          <w:tcPr>
            <w:tcBorders>
              <w:bottom w:val="single" w:sz="4"/>
            </w:tcBorders>
            <w:shd w:val="clear" w:color="auto" w:fill="auto"/>
            <w:vAlign w:val="bottom"/>
          </w:tcPr>
          <w:p>
            <w:pPr>
              <w:pStyle w:val="Style20"/>
              <w:keepNext w:val="0"/>
              <w:keepLines w:val="0"/>
              <w:widowControl w:val="0"/>
              <w:shd w:val="clear" w:color="auto" w:fill="auto"/>
              <w:bidi w:val="0"/>
              <w:spacing w:line="240" w:lineRule="auto"/>
              <w:ind w:left="0" w:firstLine="0"/>
              <w:jc w:val="left"/>
            </w:pPr>
            <w:r>
              <w:rPr>
                <w:rStyle w:val="CharStyle21"/>
              </w:rPr>
              <w:t>Alberta Securities Commission</w:t>
            </w:r>
          </w:p>
          <w:p>
            <w:pPr>
              <w:pStyle w:val="Style20"/>
              <w:keepNext w:val="0"/>
              <w:keepLines w:val="0"/>
              <w:widowControl w:val="0"/>
              <w:shd w:val="clear" w:color="auto" w:fill="auto"/>
              <w:bidi w:val="0"/>
              <w:spacing w:line="240" w:lineRule="auto"/>
              <w:ind w:left="0" w:firstLine="0"/>
              <w:jc w:val="left"/>
            </w:pPr>
            <w:r>
              <w:fldChar w:fldCharType="begin"/>
            </w:r>
            <w:r>
              <w:rPr/>
              <w:instrText> HYPERLINK "mailto:jesse.ahlan@asc.ca" </w:instrText>
            </w:r>
            <w:r>
              <w:fldChar w:fldCharType="separate"/>
            </w:r>
            <w:r>
              <w:rPr>
                <w:rStyle w:val="CharStyle21"/>
                <w:color w:val="0000FF"/>
              </w:rPr>
              <w:t>jesse.ahlan@asc.ca</w:t>
            </w:r>
            <w:r>
              <w:fldChar w:fldCharType="end"/>
            </w:r>
          </w:p>
        </w:tc>
        <w:tc>
          <w:tcPr>
            <w:tcBorders/>
            <w:shd w:val="clear" w:color="auto" w:fill="auto"/>
            <w:vAlign w:val="top"/>
          </w:tcPr>
          <w:p>
            <w:pPr>
              <w:pStyle w:val="Style20"/>
              <w:keepNext w:val="0"/>
              <w:keepLines w:val="0"/>
              <w:widowControl w:val="0"/>
              <w:shd w:val="clear" w:color="auto" w:fill="auto"/>
              <w:bidi w:val="0"/>
              <w:spacing w:line="240" w:lineRule="auto"/>
              <w:ind w:left="0" w:firstLine="360"/>
              <w:jc w:val="left"/>
            </w:pPr>
            <w:r>
              <w:fldChar w:fldCharType="begin"/>
            </w:r>
            <w:r>
              <w:rPr/>
              <w:instrText> HYPERLINK "mailto:NGill@bcsc.bc.ca" </w:instrText>
            </w:r>
            <w:r>
              <w:fldChar w:fldCharType="separate"/>
            </w:r>
            <w:r>
              <w:rPr>
                <w:rStyle w:val="CharStyle21"/>
                <w:rFonts w:ascii="Courier New" w:eastAsia="Courier New" w:hAnsi="Courier New" w:cs="Courier New"/>
                <w:color w:val="0000FF"/>
                <w:w w:val="70"/>
                <w:u w:val="single"/>
              </w:rPr>
              <w:t>NGill@bcsc.bc.ca</w:t>
            </w:r>
            <w:r>
              <w:fldChar w:fldCharType="end"/>
            </w:r>
          </w:p>
        </w:tc>
      </w:tr>
    </w:tbl>
    <w:p>
      <w:pPr>
        <w:sectPr>
          <w:footnotePr>
            <w:pos w:val="pageBottom"/>
            <w:numFmt w:val="decimal"/>
            <w:numStart w:val="1"/>
            <w:numRestart w:val="continuous"/>
            <w15:footnoteColumns w:val="1"/>
          </w:footnotePr>
          <w:pgSz w:w="12240" w:h="15840"/>
          <w:pgMar w:top="982" w:right="1397" w:bottom="1210" w:left="1401" w:header="0" w:footer="3" w:gutter="0"/>
          <w:cols w:space="720"/>
          <w:noEndnote/>
          <w:rtlGutter w:val="0"/>
          <w:docGrid w:linePitch="360"/>
        </w:sectPr>
      </w:pPr>
    </w:p>
    <w:p>
      <w:pPr>
        <w:pStyle w:val="Style25"/>
        <w:keepNext/>
        <w:keepLines/>
        <w:widowControl w:val="0"/>
        <w:shd w:val="clear" w:color="auto" w:fill="auto"/>
        <w:bidi w:val="0"/>
        <w:spacing w:line="240" w:lineRule="auto"/>
        <w:ind w:left="0" w:firstLine="0"/>
        <w:jc w:val="left"/>
      </w:pPr>
      <w:bookmarkStart w:id="5" w:name="bookmark5"/>
      <w:r>
        <w:rPr>
          <w:rStyle w:val="CharStyle26"/>
          <w:b/>
          <w:bCs/>
        </w:rPr>
        <w:t>ANNEX A</w:t>
      </w:r>
      <w:bookmarkEnd w:id="5"/>
    </w:p>
    <w:p>
      <w:pPr>
        <w:pStyle w:val="Style25"/>
        <w:keepNext/>
        <w:keepLines/>
        <w:widowControl w:val="0"/>
        <w:shd w:val="clear" w:color="auto" w:fill="auto"/>
        <w:bidi w:val="0"/>
        <w:spacing w:line="240" w:lineRule="auto"/>
        <w:ind w:left="0" w:firstLine="360"/>
        <w:jc w:val="left"/>
      </w:pPr>
      <w:r>
        <w:rPr>
          <w:rStyle w:val="CharStyle26"/>
          <w:b/>
          <w:bCs/>
        </w:rPr>
        <w:t xml:space="preserve">AMENDMENTS TO NATIONAL INSTRUMENT 23-101 </w:t>
      </w:r>
      <w:r>
        <w:rPr>
          <w:rStyle w:val="CharStyle26"/>
          <w:b/>
          <w:bCs/>
          <w:i/>
          <w:iCs/>
        </w:rPr>
        <w:t>TRADING RULES</w:t>
      </w:r>
    </w:p>
    <w:p>
      <w:pPr>
        <w:pStyle w:val="Style12"/>
        <w:keepNext w:val="0"/>
        <w:keepLines w:val="0"/>
        <w:widowControl w:val="0"/>
        <w:numPr>
          <w:ilvl w:val="0"/>
          <w:numId w:val="3"/>
        </w:numPr>
        <w:shd w:val="clear" w:color="auto" w:fill="auto"/>
        <w:tabs>
          <w:tab w:pos="694" w:val="left"/>
        </w:tabs>
        <w:bidi w:val="0"/>
        <w:spacing w:line="240" w:lineRule="auto"/>
        <w:ind w:left="0" w:firstLine="0"/>
        <w:jc w:val="left"/>
      </w:pPr>
      <w:r>
        <w:rPr>
          <w:rStyle w:val="CharStyle13"/>
          <w:b/>
          <w:bCs/>
          <w:i/>
          <w:iCs/>
        </w:rPr>
        <w:t>National Instrument 23-101 Trading Rules is amended by this Instrument.</w:t>
      </w:r>
    </w:p>
    <w:p>
      <w:pPr>
        <w:pStyle w:val="Style12"/>
        <w:keepNext w:val="0"/>
        <w:keepLines w:val="0"/>
        <w:widowControl w:val="0"/>
        <w:numPr>
          <w:ilvl w:val="0"/>
          <w:numId w:val="3"/>
        </w:numPr>
        <w:shd w:val="clear" w:color="auto" w:fill="auto"/>
        <w:tabs>
          <w:tab w:pos="694" w:val="left"/>
        </w:tabs>
        <w:bidi w:val="0"/>
        <w:spacing w:line="240" w:lineRule="auto"/>
        <w:ind w:left="360" w:hanging="360"/>
        <w:jc w:val="left"/>
      </w:pPr>
      <w:r>
        <w:rPr>
          <w:rStyle w:val="CharStyle13"/>
          <w:b/>
          <w:bCs/>
          <w:i/>
          <w:iCs/>
        </w:rPr>
        <w:t>Section 6.6.1 is amended in subsection (2) by replacing paragraphs (a) and (b) with the following:</w:t>
      </w:r>
    </w:p>
    <w:p>
      <w:pPr>
        <w:pStyle w:val="Style12"/>
        <w:keepNext w:val="0"/>
        <w:keepLines w:val="0"/>
        <w:widowControl w:val="0"/>
        <w:numPr>
          <w:ilvl w:val="0"/>
          <w:numId w:val="5"/>
        </w:numPr>
        <w:shd w:val="clear" w:color="auto" w:fill="auto"/>
        <w:tabs>
          <w:tab w:pos="1460" w:val="left"/>
        </w:tabs>
        <w:bidi w:val="0"/>
        <w:spacing w:line="240" w:lineRule="auto"/>
        <w:ind w:left="360" w:hanging="360"/>
        <w:jc w:val="left"/>
      </w:pPr>
      <w:r>
        <w:rPr>
          <w:rStyle w:val="CharStyle13"/>
        </w:rPr>
        <w:t>is greater than $0.0017 per security traded for an equity security, or per unit traded for an exchange-traded fund, if the execution price of each security or unit traded is greater than or equal to $1.00, and</w:t>
      </w:r>
    </w:p>
    <w:p>
      <w:pPr>
        <w:pStyle w:val="Style12"/>
        <w:keepNext w:val="0"/>
        <w:keepLines w:val="0"/>
        <w:widowControl w:val="0"/>
        <w:numPr>
          <w:ilvl w:val="0"/>
          <w:numId w:val="5"/>
        </w:numPr>
        <w:shd w:val="clear" w:color="auto" w:fill="auto"/>
        <w:tabs>
          <w:tab w:pos="1460" w:val="left"/>
        </w:tabs>
        <w:bidi w:val="0"/>
        <w:spacing w:line="240" w:lineRule="auto"/>
        <w:ind w:left="360" w:hanging="360"/>
        <w:jc w:val="left"/>
      </w:pPr>
      <w:r>
        <w:rPr>
          <w:rStyle w:val="CharStyle13"/>
        </w:rPr>
        <w:t>is greater than $0.0004 per security traded for an equity security, or per unit traded for an exchange-traded fund, if the execution price of each security or unit traded is less than $1.00.</w:t>
      </w:r>
      <w:r>
        <w:rPr>
          <w:rStyle w:val="CharStyle13"/>
          <w:b/>
          <w:bCs/>
          <w:i/>
          <w:iCs/>
        </w:rPr>
        <w:t>.</w:t>
      </w:r>
    </w:p>
    <w:p>
      <w:pPr>
        <w:pStyle w:val="Style12"/>
        <w:keepNext w:val="0"/>
        <w:keepLines w:val="0"/>
        <w:widowControl w:val="0"/>
        <w:numPr>
          <w:ilvl w:val="0"/>
          <w:numId w:val="3"/>
        </w:numPr>
        <w:shd w:val="clear" w:color="auto" w:fill="auto"/>
        <w:tabs>
          <w:tab w:pos="694" w:val="left"/>
        </w:tabs>
        <w:bidi w:val="0"/>
        <w:spacing w:line="240" w:lineRule="auto"/>
        <w:ind w:left="0" w:firstLine="0"/>
        <w:jc w:val="left"/>
      </w:pPr>
      <w:r>
        <w:rPr>
          <w:rStyle w:val="CharStyle13"/>
          <w:b/>
          <w:bCs/>
          <w:i/>
          <w:iCs/>
        </w:rPr>
        <w:t>Section 6.6.2 is repealed.</w:t>
      </w:r>
    </w:p>
    <w:p>
      <w:pPr>
        <w:pStyle w:val="Style12"/>
        <w:keepNext w:val="0"/>
        <w:keepLines w:val="0"/>
        <w:widowControl w:val="0"/>
        <w:numPr>
          <w:ilvl w:val="0"/>
          <w:numId w:val="3"/>
        </w:numPr>
        <w:shd w:val="clear" w:color="auto" w:fill="auto"/>
        <w:tabs>
          <w:tab w:pos="694" w:val="left"/>
        </w:tabs>
        <w:bidi w:val="0"/>
        <w:spacing w:line="240" w:lineRule="auto"/>
        <w:ind w:left="0" w:firstLine="0"/>
        <w:jc w:val="left"/>
        <w:sectPr>
          <w:footnotePr>
            <w:pos w:val="pageBottom"/>
            <w:numFmt w:val="decimal"/>
            <w:numStart w:val="1"/>
            <w:numRestart w:val="continuous"/>
            <w15:footnoteColumns w:val="1"/>
          </w:footnotePr>
          <w:pgSz w:w="12240" w:h="15840"/>
          <w:pgMar w:top="1411" w:right="1411" w:bottom="1411" w:left="1416" w:header="0" w:footer="3" w:gutter="0"/>
          <w:cols w:space="720"/>
          <w:noEndnote/>
          <w:rtlGutter w:val="0"/>
          <w:docGrid w:linePitch="360"/>
        </w:sectPr>
      </w:pPr>
      <w:r>
        <w:rPr>
          <w:rStyle w:val="CharStyle13"/>
        </w:rPr>
        <w:t>This Instrument comes into force on November 2, 2026.</w:t>
      </w:r>
    </w:p>
    <w:p>
      <w:pPr>
        <w:pStyle w:val="Style25"/>
        <w:keepNext/>
        <w:keepLines/>
        <w:widowControl w:val="0"/>
        <w:shd w:val="clear" w:color="auto" w:fill="auto"/>
        <w:bidi w:val="0"/>
        <w:spacing w:line="240" w:lineRule="auto"/>
        <w:ind w:left="0" w:firstLine="0"/>
        <w:jc w:val="left"/>
      </w:pPr>
      <w:bookmarkStart w:id="8" w:name="bookmark8"/>
      <w:r>
        <w:rPr>
          <w:rStyle w:val="CharStyle26"/>
          <w:b/>
          <w:bCs/>
        </w:rPr>
        <w:t>ANNEX B</w:t>
      </w:r>
      <w:bookmarkEnd w:id="8"/>
    </w:p>
    <w:p>
      <w:pPr>
        <w:pStyle w:val="Style12"/>
        <w:keepNext w:val="0"/>
        <w:keepLines w:val="0"/>
        <w:widowControl w:val="0"/>
        <w:shd w:val="clear" w:color="auto" w:fill="auto"/>
        <w:bidi w:val="0"/>
        <w:spacing w:line="240" w:lineRule="auto"/>
        <w:ind w:left="0" w:firstLine="0"/>
        <w:jc w:val="left"/>
      </w:pPr>
      <w:r>
        <w:rPr>
          <w:rStyle w:val="CharStyle13"/>
          <w:b/>
          <w:bCs/>
        </w:rPr>
        <w:t xml:space="preserve">CHANGES TO COMPANION POLICY 23-101 </w:t>
      </w:r>
      <w:r>
        <w:rPr>
          <w:rStyle w:val="CharStyle13"/>
          <w:b/>
          <w:bCs/>
          <w:i/>
          <w:iCs/>
        </w:rPr>
        <w:t>TRADING RULES</w:t>
      </w:r>
    </w:p>
    <w:p>
      <w:pPr>
        <w:pStyle w:val="Style12"/>
        <w:keepNext w:val="0"/>
        <w:keepLines w:val="0"/>
        <w:widowControl w:val="0"/>
        <w:numPr>
          <w:ilvl w:val="0"/>
          <w:numId w:val="7"/>
        </w:numPr>
        <w:shd w:val="clear" w:color="auto" w:fill="auto"/>
        <w:tabs>
          <w:tab w:pos="699" w:val="left"/>
        </w:tabs>
        <w:bidi w:val="0"/>
        <w:spacing w:line="240" w:lineRule="auto"/>
        <w:ind w:left="360" w:hanging="360"/>
        <w:jc w:val="left"/>
      </w:pPr>
      <w:r>
        <w:rPr>
          <w:rStyle w:val="CharStyle13"/>
          <w:b/>
          <w:bCs/>
          <w:i/>
          <w:iCs/>
        </w:rPr>
        <w:t>Companion Policy 23-101 to National Instrument 23-101 Trading Rules is changed by this Document.</w:t>
      </w:r>
    </w:p>
    <w:p>
      <w:pPr>
        <w:pStyle w:val="Style12"/>
        <w:keepNext w:val="0"/>
        <w:keepLines w:val="0"/>
        <w:widowControl w:val="0"/>
        <w:numPr>
          <w:ilvl w:val="0"/>
          <w:numId w:val="7"/>
        </w:numPr>
        <w:shd w:val="clear" w:color="auto" w:fill="auto"/>
        <w:tabs>
          <w:tab w:pos="699" w:val="left"/>
        </w:tabs>
        <w:bidi w:val="0"/>
        <w:spacing w:line="240" w:lineRule="auto"/>
        <w:ind w:left="0" w:firstLine="0"/>
        <w:jc w:val="left"/>
      </w:pPr>
      <w:r>
        <w:rPr>
          <w:rStyle w:val="CharStyle13"/>
          <w:b/>
          <w:bCs/>
          <w:i/>
          <w:iCs/>
        </w:rPr>
        <w:t>Section 6.4.1 is deleted.</w:t>
      </w:r>
    </w:p>
    <w:p>
      <w:pPr>
        <w:pStyle w:val="Style12"/>
        <w:keepNext w:val="0"/>
        <w:keepLines w:val="0"/>
        <w:widowControl w:val="0"/>
        <w:numPr>
          <w:ilvl w:val="0"/>
          <w:numId w:val="7"/>
        </w:numPr>
        <w:shd w:val="clear" w:color="auto" w:fill="auto"/>
        <w:tabs>
          <w:tab w:pos="699" w:val="left"/>
        </w:tabs>
        <w:bidi w:val="0"/>
        <w:spacing w:line="240" w:lineRule="auto"/>
        <w:ind w:left="0" w:firstLine="0"/>
        <w:jc w:val="left"/>
        <w:sectPr>
          <w:footnotePr>
            <w:pos w:val="pageBottom"/>
            <w:numFmt w:val="decimal"/>
            <w:numStart w:val="1"/>
            <w:numRestart w:val="continuous"/>
            <w15:footnoteColumns w:val="1"/>
          </w:footnotePr>
          <w:pgSz w:w="12240" w:h="15840"/>
          <w:pgMar w:top="1411" w:right="1507" w:bottom="1411" w:left="1411" w:header="0" w:footer="3" w:gutter="0"/>
          <w:cols w:space="720"/>
          <w:noEndnote/>
          <w:rtlGutter w:val="0"/>
          <w:docGrid w:linePitch="360"/>
        </w:sectPr>
      </w:pPr>
      <w:r>
        <w:rPr>
          <w:rStyle w:val="CharStyle13"/>
        </w:rPr>
        <w:t>This change becomes effective on November 2, 2026.</w:t>
      </w:r>
    </w:p>
    <w:p>
      <w:pPr>
        <w:pStyle w:val="Style25"/>
        <w:keepNext/>
        <w:keepLines/>
        <w:widowControl w:val="0"/>
        <w:shd w:val="clear" w:color="auto" w:fill="auto"/>
        <w:bidi w:val="0"/>
        <w:spacing w:line="240" w:lineRule="auto"/>
        <w:ind w:left="0" w:firstLine="0"/>
        <w:jc w:val="left"/>
      </w:pPr>
      <w:bookmarkStart w:id="11" w:name="bookmark11"/>
      <w:r>
        <w:rPr>
          <w:rStyle w:val="CharStyle26"/>
          <w:b/>
          <w:bCs/>
        </w:rPr>
        <w:t>ANNEX C</w:t>
      </w:r>
      <w:bookmarkEnd w:id="11"/>
    </w:p>
    <w:p>
      <w:pPr>
        <w:pStyle w:val="Style12"/>
        <w:keepNext w:val="0"/>
        <w:keepLines w:val="0"/>
        <w:widowControl w:val="0"/>
        <w:shd w:val="clear" w:color="auto" w:fill="auto"/>
        <w:bidi w:val="0"/>
        <w:spacing w:line="240" w:lineRule="auto"/>
        <w:ind w:left="0" w:firstLine="0"/>
        <w:jc w:val="left"/>
      </w:pPr>
      <w:r>
        <w:rPr>
          <w:rStyle w:val="CharStyle13"/>
          <w:b/>
          <w:bCs/>
        </w:rPr>
        <w:t xml:space="preserve">BLACKLINE SHOWING AMENDMENTS TO NATIONAL INSTRUMENT 23-101 </w:t>
      </w:r>
      <w:r>
        <w:rPr>
          <w:rStyle w:val="CharStyle13"/>
          <w:b/>
          <w:bCs/>
          <w:i/>
          <w:iCs/>
        </w:rPr>
        <w:t>TRADING RULES</w:t>
      </w:r>
    </w:p>
    <w:p>
      <w:pPr>
        <w:pStyle w:val="Style12"/>
        <w:keepNext w:val="0"/>
        <w:keepLines w:val="0"/>
        <w:widowControl w:val="0"/>
        <w:shd w:val="clear" w:color="auto" w:fill="auto"/>
        <w:bidi w:val="0"/>
        <w:spacing w:line="240" w:lineRule="auto"/>
        <w:ind w:left="0" w:firstLine="0"/>
        <w:jc w:val="left"/>
      </w:pPr>
      <w:r>
        <w:rPr>
          <w:rStyle w:val="CharStyle13"/>
          <w:b/>
          <w:bCs/>
        </w:rPr>
        <w:t>Trading Fees</w:t>
      </w:r>
    </w:p>
    <w:p>
      <w:pPr>
        <w:pStyle w:val="Style12"/>
        <w:keepNext w:val="0"/>
        <w:keepLines w:val="0"/>
        <w:widowControl w:val="0"/>
        <w:numPr>
          <w:ilvl w:val="2"/>
          <w:numId w:val="9"/>
        </w:numPr>
        <w:shd w:val="clear" w:color="auto" w:fill="auto"/>
        <w:tabs>
          <w:tab w:pos="642" w:val="left"/>
        </w:tabs>
        <w:bidi w:val="0"/>
        <w:spacing w:line="240" w:lineRule="auto"/>
        <w:ind w:left="0" w:firstLine="0"/>
        <w:jc w:val="left"/>
      </w:pPr>
      <w:r>
        <w:rPr>
          <w:rStyle w:val="CharStyle13"/>
        </w:rPr>
        <w:t>(1) In this section</w:t>
      </w:r>
    </w:p>
    <w:p>
      <w:pPr>
        <w:pStyle w:val="Style12"/>
        <w:keepNext w:val="0"/>
        <w:keepLines w:val="0"/>
        <w:widowControl w:val="0"/>
        <w:shd w:val="clear" w:color="auto" w:fill="auto"/>
        <w:bidi w:val="0"/>
        <w:spacing w:line="240" w:lineRule="auto"/>
        <w:ind w:left="0" w:firstLine="0"/>
        <w:jc w:val="left"/>
      </w:pPr>
      <w:r>
        <w:rPr>
          <w:rStyle w:val="CharStyle13"/>
        </w:rPr>
        <w:t>"exchange-traded fund" means a mutual fund</w:t>
      </w:r>
    </w:p>
    <w:p>
      <w:pPr>
        <w:pStyle w:val="Style12"/>
        <w:keepNext w:val="0"/>
        <w:keepLines w:val="0"/>
        <w:widowControl w:val="0"/>
        <w:numPr>
          <w:ilvl w:val="0"/>
          <w:numId w:val="11"/>
        </w:numPr>
        <w:shd w:val="clear" w:color="auto" w:fill="auto"/>
        <w:tabs>
          <w:tab w:pos="1450" w:val="left"/>
        </w:tabs>
        <w:bidi w:val="0"/>
        <w:spacing w:line="240" w:lineRule="auto"/>
        <w:ind w:left="0" w:firstLine="0"/>
        <w:jc w:val="left"/>
      </w:pPr>
      <w:r>
        <w:rPr>
          <w:rStyle w:val="CharStyle13"/>
        </w:rPr>
        <w:t>the units of which are listed securities or quoted securities, and</w:t>
      </w:r>
    </w:p>
    <w:p>
      <w:pPr>
        <w:pStyle w:val="Style12"/>
        <w:keepNext w:val="0"/>
        <w:keepLines w:val="0"/>
        <w:widowControl w:val="0"/>
        <w:numPr>
          <w:ilvl w:val="0"/>
          <w:numId w:val="11"/>
        </w:numPr>
        <w:shd w:val="clear" w:color="auto" w:fill="auto"/>
        <w:tabs>
          <w:tab w:pos="1463" w:val="left"/>
        </w:tabs>
        <w:bidi w:val="0"/>
        <w:spacing w:line="240" w:lineRule="auto"/>
        <w:ind w:left="360" w:hanging="360"/>
        <w:jc w:val="left"/>
      </w:pPr>
      <w:r>
        <w:rPr>
          <w:rStyle w:val="CharStyle13"/>
        </w:rPr>
        <w:t>that is in continuous distribution in accordance with applicable securities legislation; and</w:t>
      </w:r>
    </w:p>
    <w:p>
      <w:pPr>
        <w:pStyle w:val="Style12"/>
        <w:keepNext w:val="0"/>
        <w:keepLines w:val="0"/>
        <w:widowControl w:val="0"/>
        <w:shd w:val="clear" w:color="auto" w:fill="auto"/>
        <w:bidi w:val="0"/>
        <w:spacing w:line="240" w:lineRule="auto"/>
        <w:ind w:left="0" w:firstLine="0"/>
        <w:jc w:val="left"/>
      </w:pPr>
      <w:r>
        <w:rPr>
          <w:rStyle w:val="CharStyle13"/>
        </w:rPr>
        <w:t>"inter-listed security" means an exchange-traded security that is also listed on an exchange that is registered as a "national securities exchange" in the United States of America under section 6 of the 1934 Act.</w:t>
      </w:r>
    </w:p>
    <w:p>
      <w:pPr>
        <w:pStyle w:val="Style12"/>
        <w:keepNext w:val="0"/>
        <w:keepLines w:val="0"/>
        <w:widowControl w:val="0"/>
        <w:numPr>
          <w:ilvl w:val="0"/>
          <w:numId w:val="13"/>
        </w:numPr>
        <w:shd w:val="clear" w:color="auto" w:fill="auto"/>
        <w:tabs>
          <w:tab w:pos="464" w:val="left"/>
        </w:tabs>
        <w:bidi w:val="0"/>
        <w:spacing w:line="240" w:lineRule="auto"/>
        <w:ind w:left="0" w:firstLine="0"/>
        <w:jc w:val="left"/>
      </w:pPr>
      <w:r>
        <w:rPr>
          <w:rStyle w:val="CharStyle13"/>
        </w:rPr>
        <w:t>A marketplace that is subject to section 7.1 of NI 21-101 must not charge a fee for executing an order that was entered to execute against a displayed order on the marketplace that,</w:t>
      </w:r>
    </w:p>
    <w:p>
      <w:pPr>
        <w:pStyle w:val="Style12"/>
        <w:keepNext w:val="0"/>
        <w:keepLines w:val="0"/>
        <w:widowControl w:val="0"/>
        <w:numPr>
          <w:ilvl w:val="0"/>
          <w:numId w:val="15"/>
        </w:numPr>
        <w:shd w:val="clear" w:color="auto" w:fill="auto"/>
        <w:tabs>
          <w:tab w:pos="349" w:val="left"/>
        </w:tabs>
        <w:bidi w:val="0"/>
        <w:spacing w:line="240" w:lineRule="auto"/>
        <w:ind w:left="0" w:firstLine="0"/>
        <w:jc w:val="left"/>
      </w:pPr>
      <w:r>
        <w:rPr>
          <w:rStyle w:val="CharStyle13"/>
          <w:color w:val="FF0000"/>
        </w:rPr>
        <w:t xml:space="preserve">— </w:t>
      </w:r>
      <w:r>
        <w:rPr>
          <w:rStyle w:val="CharStyle13"/>
          <w:strike/>
          <w:color w:val="FF0000"/>
        </w:rPr>
        <w:t>in the ca</w:t>
      </w:r>
      <w:r>
        <w:rPr>
          <w:rStyle w:val="CharStyle13"/>
          <w:color w:val="FF0000"/>
        </w:rPr>
        <w:t>s</w:t>
      </w:r>
      <w:r>
        <w:rPr>
          <w:rStyle w:val="CharStyle13"/>
          <w:strike/>
          <w:color w:val="FF0000"/>
        </w:rPr>
        <w:t>e of an order involving an inter listed security,</w:t>
      </w:r>
    </w:p>
    <w:p>
      <w:pPr>
        <w:pStyle w:val="Style12"/>
        <w:keepNext w:val="0"/>
        <w:keepLines w:val="0"/>
        <w:widowControl w:val="0"/>
        <w:shd w:val="clear" w:color="auto" w:fill="auto"/>
        <w:bidi w:val="0"/>
        <w:spacing w:line="257" w:lineRule="auto"/>
        <w:ind w:left="360" w:hanging="360"/>
        <w:jc w:val="left"/>
      </w:pPr>
      <w:r>
        <w:rPr>
          <w:rStyle w:val="CharStyle13"/>
          <w:color w:val="FF0000"/>
          <w:sz w:val="22"/>
          <w:szCs w:val="22"/>
        </w:rPr>
        <w:t xml:space="preserve">+ — is greater than $0.0030 per security traded for an equity security, or per unit traded for an exchange traded fund, if the execution price of each security or unit traded is greater than or equal to </w:t>
      </w:r>
      <w:r>
        <w:rPr>
          <w:rStyle w:val="CharStyle13"/>
          <w:strike/>
          <w:color w:val="FF0000"/>
        </w:rPr>
        <w:t>$1.00, and</w:t>
      </w:r>
    </w:p>
    <w:p>
      <w:pPr>
        <w:pStyle w:val="Style12"/>
        <w:keepNext w:val="0"/>
        <w:keepLines w:val="0"/>
        <w:widowControl w:val="0"/>
        <w:numPr>
          <w:ilvl w:val="0"/>
          <w:numId w:val="17"/>
        </w:numPr>
        <w:shd w:val="clear" w:color="auto" w:fill="auto"/>
        <w:tabs>
          <w:tab w:pos="2938" w:val="left"/>
        </w:tabs>
        <w:bidi w:val="0"/>
        <w:spacing w:line="240" w:lineRule="auto"/>
        <w:ind w:left="360" w:hanging="360"/>
        <w:jc w:val="left"/>
      </w:pPr>
      <w:r>
        <w:rPr>
          <w:rStyle w:val="CharStyle13"/>
          <w:color w:val="FF0000"/>
        </w:rPr>
        <w:t xml:space="preserve">— </w:t>
      </w:r>
      <w:r>
        <w:rPr>
          <w:rStyle w:val="CharStyle13"/>
          <w:strike/>
          <w:color w:val="FF0000"/>
        </w:rPr>
        <w:t>is greater than $0.0004 per</w:t>
      </w:r>
      <w:r>
        <w:rPr>
          <w:rStyle w:val="CharStyle13"/>
          <w:color w:val="FF0000"/>
        </w:rPr>
        <w:t xml:space="preserve"> s</w:t>
      </w:r>
      <w:r>
        <w:rPr>
          <w:rStyle w:val="CharStyle13"/>
          <w:strike/>
          <w:color w:val="FF0000"/>
        </w:rPr>
        <w:t>ecurity traded for an equity security, or per unit traded for an exchange traded fund, if the execution price of</w:t>
      </w:r>
      <w:r>
        <w:rPr>
          <w:rStyle w:val="CharStyle13"/>
          <w:color w:val="FF0000"/>
        </w:rPr>
        <w:t xml:space="preserve"> e</w:t>
      </w:r>
      <w:r>
        <w:rPr>
          <w:rStyle w:val="CharStyle13"/>
          <w:strike/>
          <w:color w:val="FF0000"/>
        </w:rPr>
        <w:t>ach security or unit traded is less than $1.00; or</w:t>
      </w:r>
    </w:p>
    <w:p>
      <w:pPr>
        <w:pStyle w:val="Style12"/>
        <w:keepNext w:val="0"/>
        <w:keepLines w:val="0"/>
        <w:widowControl w:val="0"/>
        <w:shd w:val="clear" w:color="auto" w:fill="auto"/>
        <w:bidi w:val="0"/>
        <w:spacing w:line="240" w:lineRule="auto"/>
        <w:ind w:left="360" w:hanging="360"/>
        <w:jc w:val="left"/>
      </w:pPr>
      <w:r>
        <w:rPr>
          <w:rStyle w:val="CharStyle13"/>
          <w:color w:val="FF0000"/>
          <w:sz w:val="22"/>
          <w:szCs w:val="22"/>
        </w:rPr>
        <w:t xml:space="preserve">b— </w:t>
      </w:r>
      <w:r>
        <w:rPr>
          <w:rStyle w:val="CharStyle13"/>
          <w:strike/>
          <w:color w:val="FF0000"/>
        </w:rPr>
        <w:t>in the case of an order involving a security that is not an inter listed security,</w:t>
      </w:r>
    </w:p>
    <w:p>
      <w:pPr>
        <w:pStyle w:val="Style12"/>
        <w:keepNext w:val="0"/>
        <w:keepLines w:val="0"/>
        <w:widowControl w:val="0"/>
        <w:shd w:val="clear" w:color="auto" w:fill="auto"/>
        <w:bidi w:val="0"/>
        <w:spacing w:line="240" w:lineRule="auto"/>
        <w:ind w:left="360" w:hanging="360"/>
        <w:jc w:val="left"/>
      </w:pPr>
      <w:r>
        <w:rPr>
          <w:rStyle w:val="CharStyle13"/>
          <w:strike/>
          <w:color w:val="FF0000"/>
        </w:rPr>
        <w:t>+ — is greater than $0.0017 per</w:t>
      </w:r>
      <w:r>
        <w:rPr>
          <w:rStyle w:val="CharStyle13"/>
          <w:color w:val="FF0000"/>
        </w:rPr>
        <w:t xml:space="preserve"> s</w:t>
      </w:r>
      <w:r>
        <w:rPr>
          <w:rStyle w:val="CharStyle13"/>
          <w:strike/>
          <w:color w:val="FF0000"/>
        </w:rPr>
        <w:t>ecurity traded for an equity security, or per unit traded for an exchange traded fund, if the execution price of</w:t>
      </w:r>
      <w:r>
        <w:rPr>
          <w:rStyle w:val="CharStyle13"/>
          <w:color w:val="FF0000"/>
        </w:rPr>
        <w:t xml:space="preserve"> e</w:t>
      </w:r>
      <w:r>
        <w:rPr>
          <w:rStyle w:val="CharStyle13"/>
          <w:strike/>
          <w:color w:val="FF0000"/>
        </w:rPr>
        <w:t>ach security or unit traded is greater than or equal to $1.00, and</w:t>
      </w:r>
    </w:p>
    <w:p>
      <w:pPr>
        <w:pStyle w:val="Style12"/>
        <w:keepNext w:val="0"/>
        <w:keepLines w:val="0"/>
        <w:widowControl w:val="0"/>
        <w:numPr>
          <w:ilvl w:val="0"/>
          <w:numId w:val="17"/>
        </w:numPr>
        <w:shd w:val="clear" w:color="auto" w:fill="auto"/>
        <w:tabs>
          <w:tab w:pos="2938" w:val="left"/>
        </w:tabs>
        <w:bidi w:val="0"/>
        <w:spacing w:line="240" w:lineRule="auto"/>
        <w:ind w:left="360" w:hanging="360"/>
        <w:jc w:val="left"/>
      </w:pPr>
      <w:r>
        <w:rPr>
          <w:rStyle w:val="CharStyle13"/>
          <w:color w:val="FF0000"/>
        </w:rPr>
        <w:t xml:space="preserve">— </w:t>
      </w:r>
      <w:r>
        <w:rPr>
          <w:rStyle w:val="CharStyle13"/>
          <w:strike/>
          <w:color w:val="FF0000"/>
        </w:rPr>
        <w:t>is greater than $0.0004 per</w:t>
      </w:r>
      <w:r>
        <w:rPr>
          <w:rStyle w:val="CharStyle13"/>
          <w:color w:val="FF0000"/>
        </w:rPr>
        <w:t xml:space="preserve"> s</w:t>
      </w:r>
      <w:r>
        <w:rPr>
          <w:rStyle w:val="CharStyle13"/>
          <w:strike/>
          <w:color w:val="FF0000"/>
        </w:rPr>
        <w:t>ecurity traded for an equity security, or per unit traded for an exchange traded fund, if the execution price of</w:t>
      </w:r>
      <w:r>
        <w:rPr>
          <w:rStyle w:val="CharStyle13"/>
          <w:color w:val="FF0000"/>
        </w:rPr>
        <w:t xml:space="preserve"> e</w:t>
      </w:r>
      <w:r>
        <w:rPr>
          <w:rStyle w:val="CharStyle13"/>
          <w:strike/>
          <w:color w:val="FF0000"/>
        </w:rPr>
        <w:t>ach security or unit traded is less than $1.00.</w:t>
      </w:r>
    </w:p>
    <w:p>
      <w:pPr>
        <w:pStyle w:val="Style12"/>
        <w:keepNext w:val="0"/>
        <w:keepLines w:val="0"/>
        <w:widowControl w:val="0"/>
        <w:numPr>
          <w:ilvl w:val="0"/>
          <w:numId w:val="15"/>
        </w:numPr>
        <w:shd w:val="clear" w:color="auto" w:fill="auto"/>
        <w:tabs>
          <w:tab w:pos="2270" w:val="left"/>
        </w:tabs>
        <w:bidi w:val="0"/>
        <w:spacing w:line="240" w:lineRule="auto"/>
        <w:ind w:left="360" w:hanging="360"/>
        <w:jc w:val="left"/>
      </w:pPr>
      <w:r>
        <w:rPr>
          <w:rStyle w:val="CharStyle13"/>
          <w:color w:val="4F81BD"/>
        </w:rPr>
        <w:t>is greater than $0.0017 per security traded for an equity security, or per unit traded for an exchange-traded fund, if the execution price of each security or unit traded is greater than or equal to $1.00, and</w:t>
      </w:r>
    </w:p>
    <w:p>
      <w:pPr>
        <w:pStyle w:val="Style12"/>
        <w:keepNext w:val="0"/>
        <w:keepLines w:val="0"/>
        <w:widowControl w:val="0"/>
        <w:numPr>
          <w:ilvl w:val="0"/>
          <w:numId w:val="15"/>
        </w:numPr>
        <w:shd w:val="clear" w:color="auto" w:fill="auto"/>
        <w:tabs>
          <w:tab w:pos="2284" w:val="left"/>
        </w:tabs>
        <w:bidi w:val="0"/>
        <w:spacing w:line="240" w:lineRule="auto"/>
        <w:ind w:left="360" w:hanging="360"/>
        <w:jc w:val="left"/>
      </w:pPr>
      <w:r>
        <w:rPr>
          <w:rStyle w:val="CharStyle13"/>
          <w:color w:val="4F81BD"/>
        </w:rPr>
        <w:t>is greater than $0.0004 per security traded for an equity security, or per unit traded for an exchange-traded fund, if the execution price of each security or unit traded is less than $1.00.</w:t>
      </w:r>
    </w:p>
    <w:p>
      <w:pPr>
        <w:pStyle w:val="Style12"/>
        <w:keepNext w:val="0"/>
        <w:keepLines w:val="0"/>
        <w:widowControl w:val="0"/>
        <w:numPr>
          <w:ilvl w:val="0"/>
          <w:numId w:val="13"/>
        </w:numPr>
        <w:shd w:val="clear" w:color="auto" w:fill="auto"/>
        <w:tabs>
          <w:tab w:pos="474" w:val="left"/>
        </w:tabs>
        <w:bidi w:val="0"/>
        <w:spacing w:line="240" w:lineRule="auto"/>
        <w:ind w:left="0" w:firstLine="0"/>
        <w:jc w:val="left"/>
      </w:pPr>
      <w:r>
        <w:rPr>
          <w:rStyle w:val="CharStyle13"/>
        </w:rPr>
        <w:t>A recognized exchange must maintain a list of inter-listed securities that are listed on the exchange as of the last day of each calendar quarter.</w:t>
      </w:r>
    </w:p>
    <w:p>
      <w:pPr>
        <w:pStyle w:val="Style12"/>
        <w:keepNext w:val="0"/>
        <w:keepLines w:val="0"/>
        <w:widowControl w:val="0"/>
        <w:numPr>
          <w:ilvl w:val="0"/>
          <w:numId w:val="13"/>
        </w:numPr>
        <w:shd w:val="clear" w:color="auto" w:fill="auto"/>
        <w:tabs>
          <w:tab w:pos="464" w:val="left"/>
        </w:tabs>
        <w:bidi w:val="0"/>
        <w:spacing w:line="240" w:lineRule="auto"/>
        <w:ind w:left="0" w:firstLine="0"/>
        <w:jc w:val="left"/>
      </w:pPr>
      <w:r>
        <w:rPr>
          <w:rStyle w:val="CharStyle13"/>
        </w:rPr>
        <w:t>A recognized exchange must publicly disclose on its website the list referred to in subsection (3)</w:t>
      </w:r>
    </w:p>
    <w:p>
      <w:pPr>
        <w:pStyle w:val="Style12"/>
        <w:keepNext w:val="0"/>
        <w:keepLines w:val="0"/>
        <w:widowControl w:val="0"/>
        <w:numPr>
          <w:ilvl w:val="0"/>
          <w:numId w:val="19"/>
        </w:numPr>
        <w:shd w:val="clear" w:color="auto" w:fill="auto"/>
        <w:tabs>
          <w:tab w:pos="1950" w:val="left"/>
        </w:tabs>
        <w:bidi w:val="0"/>
        <w:spacing w:line="240" w:lineRule="auto"/>
        <w:ind w:left="0" w:firstLine="0"/>
        <w:jc w:val="left"/>
      </w:pPr>
      <w:r>
        <w:rPr>
          <w:rStyle w:val="CharStyle13"/>
        </w:rPr>
        <w:t>within 7 days after the last day of each calendar quarter, and</w:t>
      </w:r>
    </w:p>
    <w:p>
      <w:pPr>
        <w:pStyle w:val="Style12"/>
        <w:keepNext w:val="0"/>
        <w:keepLines w:val="0"/>
        <w:widowControl w:val="0"/>
        <w:numPr>
          <w:ilvl w:val="0"/>
          <w:numId w:val="19"/>
        </w:numPr>
        <w:shd w:val="clear" w:color="auto" w:fill="auto"/>
        <w:tabs>
          <w:tab w:pos="1963" w:val="left"/>
        </w:tabs>
        <w:bidi w:val="0"/>
        <w:spacing w:line="240" w:lineRule="auto"/>
        <w:ind w:left="360" w:hanging="360"/>
        <w:jc w:val="left"/>
      </w:pPr>
      <w:r>
        <w:rPr>
          <w:rStyle w:val="CharStyle13"/>
        </w:rPr>
        <w:t>for a period of at least 12 months commencing on the date it is publicly disclosed on the website.</w:t>
      </w:r>
    </w:p>
    <w:p>
      <w:pPr>
        <w:pStyle w:val="Style12"/>
        <w:keepNext w:val="0"/>
        <w:keepLines w:val="0"/>
        <w:widowControl w:val="0"/>
        <w:shd w:val="clear" w:color="auto" w:fill="auto"/>
        <w:bidi w:val="0"/>
        <w:spacing w:line="240" w:lineRule="auto"/>
        <w:ind w:left="0" w:firstLine="0"/>
        <w:jc w:val="left"/>
      </w:pPr>
      <w:r>
        <w:rPr>
          <w:rStyle w:val="CharStyle13"/>
          <w:b/>
          <w:bCs/>
          <w:strike/>
          <w:color w:val="FF0000"/>
        </w:rPr>
        <w:t>Ceasing to be inter listed security</w:t>
      </w:r>
      <w:r>
        <w:rPr>
          <w:rStyle w:val="CharStyle13"/>
          <w:rFonts w:ascii="Courier New" w:eastAsia="Courier New" w:hAnsi="Courier New" w:cs="Courier New"/>
          <w:b/>
          <w:bCs/>
          <w:color w:val="FF0000"/>
        </w:rPr>
        <w:t xml:space="preserve"> — fee transition-period</w:t>
      </w:r>
    </w:p>
    <w:p>
      <w:pPr>
        <w:pStyle w:val="Style12"/>
        <w:keepNext w:val="0"/>
        <w:keepLines w:val="0"/>
        <w:widowControl w:val="0"/>
        <w:shd w:val="clear" w:color="auto" w:fill="auto"/>
        <w:tabs>
          <w:tab w:leader="hyphen" w:pos="845" w:val="left"/>
        </w:tabs>
        <w:bidi w:val="0"/>
        <w:spacing w:line="240" w:lineRule="auto"/>
        <w:ind w:left="0" w:firstLine="0"/>
        <w:jc w:val="left"/>
        <w:rPr>
          <w:sz w:val="22"/>
          <w:szCs w:val="22"/>
        </w:rPr>
      </w:pPr>
      <w:r>
        <w:rPr>
          <w:rStyle w:val="CharStyle13"/>
          <w:rFonts w:ascii="Courier New" w:eastAsia="Courier New" w:hAnsi="Courier New" w:cs="Courier New"/>
          <w:b/>
          <w:bCs/>
          <w:color w:val="FF0000"/>
        </w:rPr>
        <w:t xml:space="preserve">6.6.2 </w:t>
        <w:tab/>
      </w:r>
      <w:r>
        <w:rPr>
          <w:rStyle w:val="CharStyle13"/>
          <w:color w:val="FF0000"/>
          <w:sz w:val="22"/>
          <w:szCs w:val="22"/>
        </w:rPr>
        <w:t>If a security ceases to be an inter listed security, paragraph 6.6.1(2)(b) does not apply if</w:t>
      </w:r>
    </w:p>
    <w:p>
      <w:pPr>
        <w:pStyle w:val="Style12"/>
        <w:keepNext w:val="0"/>
        <w:keepLines w:val="0"/>
        <w:widowControl w:val="0"/>
        <w:shd w:val="clear" w:color="auto" w:fill="auto"/>
        <w:bidi w:val="0"/>
        <w:spacing w:line="259" w:lineRule="auto"/>
        <w:ind w:left="360" w:hanging="360"/>
        <w:jc w:val="left"/>
        <w:rPr>
          <w:sz w:val="22"/>
          <w:szCs w:val="22"/>
        </w:rPr>
      </w:pPr>
      <w:r>
        <w:rPr>
          <w:rStyle w:val="CharStyle13"/>
          <w:color w:val="FF0000"/>
          <w:sz w:val="22"/>
          <w:szCs w:val="22"/>
        </w:rPr>
        <w:t>a. — less than 35 days has passed since the first date, following the cessation, the list referred to in subsection 6.6.1(4) was publicly disclosed, and</w:t>
      </w:r>
    </w:p>
    <w:p>
      <w:pPr>
        <w:pStyle w:val="Style12"/>
        <w:keepNext w:val="0"/>
        <w:keepLines w:val="0"/>
        <w:widowControl w:val="0"/>
        <w:shd w:val="clear" w:color="auto" w:fill="auto"/>
        <w:bidi w:val="0"/>
        <w:spacing w:line="259" w:lineRule="auto"/>
        <w:ind w:left="360" w:hanging="360"/>
        <w:jc w:val="left"/>
        <w:rPr>
          <w:sz w:val="22"/>
          <w:szCs w:val="22"/>
        </w:rPr>
        <w:sectPr>
          <w:footnotePr>
            <w:pos w:val="pageBottom"/>
            <w:numFmt w:val="decimal"/>
            <w:numStart w:val="1"/>
            <w:numRestart w:val="continuous"/>
            <w15:footnoteColumns w:val="1"/>
          </w:footnotePr>
          <w:pgSz w:w="12240" w:h="15840"/>
          <w:pgMar w:top="1411" w:right="1453" w:bottom="2093" w:left="1398" w:header="0" w:footer="3" w:gutter="0"/>
          <w:cols w:space="720"/>
          <w:noEndnote/>
          <w:rtlGutter w:val="0"/>
          <w:docGrid w:linePitch="360"/>
        </w:sectPr>
      </w:pPr>
      <w:r>
        <w:rPr>
          <w:rStyle w:val="CharStyle13"/>
          <w:color w:val="FF0000"/>
          <w:sz w:val="22"/>
          <w:szCs w:val="22"/>
        </w:rPr>
        <w:t>b— the fee charged is in compliance with paragraph 6.6.1(2)(a) as if the security were still an inter listed security.</w:t>
      </w:r>
    </w:p>
    <w:p>
      <w:pPr>
        <w:pStyle w:val="Style25"/>
        <w:keepNext/>
        <w:keepLines/>
        <w:widowControl w:val="0"/>
        <w:shd w:val="clear" w:color="auto" w:fill="auto"/>
        <w:bidi w:val="0"/>
        <w:spacing w:line="240" w:lineRule="auto"/>
        <w:ind w:left="0" w:firstLine="0"/>
        <w:jc w:val="left"/>
      </w:pPr>
      <w:bookmarkStart w:id="14" w:name="bookmark14"/>
      <w:r>
        <w:rPr>
          <w:rStyle w:val="CharStyle26"/>
          <w:b/>
          <w:bCs/>
        </w:rPr>
        <w:t>ANNEX D</w:t>
      </w:r>
      <w:bookmarkEnd w:id="14"/>
    </w:p>
    <w:p>
      <w:pPr>
        <w:pStyle w:val="Style12"/>
        <w:keepNext w:val="0"/>
        <w:keepLines w:val="0"/>
        <w:widowControl w:val="0"/>
        <w:shd w:val="clear" w:color="auto" w:fill="auto"/>
        <w:bidi w:val="0"/>
        <w:spacing w:line="240" w:lineRule="auto"/>
        <w:ind w:left="0" w:firstLine="0"/>
        <w:jc w:val="left"/>
      </w:pPr>
      <w:r>
        <w:rPr>
          <w:rStyle w:val="CharStyle13"/>
          <w:b/>
          <w:bCs/>
        </w:rPr>
        <w:t xml:space="preserve">BLACKLINE SHOWING CHANGES TO COMPANION POLICY 23-101 </w:t>
      </w:r>
      <w:r>
        <w:rPr>
          <w:rStyle w:val="CharStyle13"/>
          <w:b/>
          <w:bCs/>
          <w:i/>
          <w:iCs/>
        </w:rPr>
        <w:t>TRADING RULES</w:t>
      </w:r>
    </w:p>
    <w:p>
      <w:pPr>
        <w:pStyle w:val="Style12"/>
        <w:keepNext w:val="0"/>
        <w:keepLines w:val="0"/>
        <w:widowControl w:val="0"/>
        <w:numPr>
          <w:ilvl w:val="2"/>
          <w:numId w:val="21"/>
        </w:numPr>
        <w:shd w:val="clear" w:color="auto" w:fill="auto"/>
        <w:tabs>
          <w:tab w:pos="601" w:val="left"/>
        </w:tabs>
        <w:bidi w:val="0"/>
        <w:spacing w:line="240" w:lineRule="auto"/>
        <w:ind w:left="0" w:firstLine="0"/>
        <w:jc w:val="left"/>
        <w:sectPr>
          <w:footnotePr>
            <w:pos w:val="pageBottom"/>
            <w:numFmt w:val="decimal"/>
            <w:numStart w:val="1"/>
            <w:numRestart w:val="continuous"/>
            <w15:footnoteColumns w:val="1"/>
          </w:footnotePr>
          <w:pgSz w:w="12240" w:h="15840"/>
          <w:pgMar w:top="1411" w:right="1459" w:bottom="1411" w:left="1483" w:header="0" w:footer="3" w:gutter="0"/>
          <w:cols w:space="720"/>
          <w:noEndnote/>
          <w:rtlGutter w:val="0"/>
          <w:docGrid w:linePitch="360"/>
        </w:sectPr>
      </w:pPr>
      <w:r>
        <w:rPr>
          <w:rStyle w:val="CharStyle13"/>
          <w:b/>
          <w:bCs/>
          <w:strike/>
          <w:color w:val="FF0000"/>
        </w:rPr>
        <w:t xml:space="preserve">Trading Fees — </w:t>
      </w:r>
      <w:r>
        <w:rPr>
          <w:rStyle w:val="CharStyle13"/>
          <w:strike/>
          <w:color w:val="FF0000"/>
        </w:rPr>
        <w:t>Section 6.6.1 provides caps on the fee that a marketplace</w:t>
      </w:r>
      <w:r>
        <w:rPr>
          <w:rStyle w:val="CharStyle13"/>
          <w:color w:val="FF0000"/>
        </w:rPr>
        <w:t xml:space="preserve"> s</w:t>
      </w:r>
      <w:r>
        <w:rPr>
          <w:rStyle w:val="CharStyle13"/>
          <w:strike/>
          <w:color w:val="FF0000"/>
        </w:rPr>
        <w:t>ubject to section 7.1 of NI 21 101 can charge for execution against a displayed order on the marketplace. Paragraph 6.6.1(2)(a) establishes a higher trading fee cap for exchange traded securities that are inter listed (i.e., li</w:t>
      </w:r>
      <w:r>
        <w:rPr>
          <w:rStyle w:val="CharStyle13"/>
          <w:color w:val="FF0000"/>
        </w:rPr>
        <w:t>s</w:t>
      </w:r>
      <w:r>
        <w:rPr>
          <w:rStyle w:val="CharStyle13"/>
          <w:strike/>
          <w:color w:val="FF0000"/>
        </w:rPr>
        <w:t>ted on both a recognized exchange and a national securities exchange in the United States of America) and priced at or above $1.00. Subsections 6.6.1 (3) and (4) provide a process to ensure transparency of a security's</w:t>
      </w:r>
      <w:r>
        <w:rPr>
          <w:rStyle w:val="CharStyle13"/>
          <w:color w:val="FF0000"/>
        </w:rPr>
        <w:t xml:space="preserve"> s</w:t>
      </w:r>
      <w:r>
        <w:rPr>
          <w:rStyle w:val="CharStyle13"/>
          <w:strike/>
          <w:color w:val="FF0000"/>
        </w:rPr>
        <w:t>tatus as an inter listed security, and require a recognized exchange to publish a quarterly list of all of it</w:t>
      </w:r>
      <w:r>
        <w:rPr>
          <w:rStyle w:val="CharStyle13"/>
          <w:color w:val="FF0000"/>
        </w:rPr>
        <w:t xml:space="preserve">s </w:t>
      </w:r>
      <w:r>
        <w:rPr>
          <w:rStyle w:val="CharStyle13"/>
          <w:strike/>
          <w:color w:val="FF0000"/>
        </w:rPr>
        <w:t>inter listed securities no later than seven days after the end of each quarter. In compiling the list, an exchange may rely on representations made by its listed issuers as to their status. Section 6.6.2 addresses the situation where a</w:t>
      </w:r>
      <w:r>
        <w:rPr>
          <w:rStyle w:val="CharStyle13"/>
          <w:color w:val="FF0000"/>
        </w:rPr>
        <w:t xml:space="preserve"> s</w:t>
      </w:r>
      <w:r>
        <w:rPr>
          <w:rStyle w:val="CharStyle13"/>
          <w:strike/>
          <w:color w:val="FF0000"/>
        </w:rPr>
        <w:t>ecurity's status as an inter listed security changes, specifically, when a security is delisted from all U.S. national securities exchanges on which it was listed and is now only listed on a recognized exchange in Canada and is no longer an inter li</w:t>
      </w:r>
      <w:r>
        <w:rPr>
          <w:rStyle w:val="CharStyle13"/>
          <w:color w:val="FF0000"/>
        </w:rPr>
        <w:t>s</w:t>
      </w:r>
      <w:r>
        <w:rPr>
          <w:rStyle w:val="CharStyle13"/>
          <w:strike/>
          <w:color w:val="FF0000"/>
        </w:rPr>
        <w:t>ted security. Section 6.6.2 requires marketplaces to make any reductions to their fees that are necessary to comply with paragraph 6.6.1(2)(b) no later than 35 days following the publication of the first list indicating that the security is no longer an inter listed security.</w:t>
      </w:r>
    </w:p>
    <w:p>
      <w:pPr>
        <w:pStyle w:val="Style25"/>
        <w:keepNext/>
        <w:keepLines/>
        <w:widowControl w:val="0"/>
        <w:shd w:val="clear" w:color="auto" w:fill="auto"/>
        <w:bidi w:val="0"/>
        <w:spacing w:line="240" w:lineRule="auto"/>
        <w:ind w:left="0" w:firstLine="0"/>
        <w:jc w:val="left"/>
      </w:pPr>
      <w:bookmarkStart w:id="17" w:name="bookmark17"/>
      <w:r>
        <w:rPr>
          <w:rStyle w:val="CharStyle26"/>
          <w:b/>
          <w:bCs/>
        </w:rPr>
        <w:t>ANNEX E</w:t>
      </w:r>
      <w:bookmarkEnd w:id="17"/>
    </w:p>
    <w:p>
      <w:pPr>
        <w:pStyle w:val="Style25"/>
        <w:keepNext/>
        <w:keepLines/>
        <w:widowControl w:val="0"/>
        <w:shd w:val="clear" w:color="auto" w:fill="auto"/>
        <w:bidi w:val="0"/>
        <w:spacing w:line="240" w:lineRule="auto"/>
        <w:ind w:left="0" w:firstLine="0"/>
        <w:jc w:val="left"/>
      </w:pPr>
      <w:r>
        <w:rPr>
          <w:rStyle w:val="CharStyle26"/>
          <w:b/>
          <w:bCs/>
        </w:rPr>
        <w:t>SUMMARY OF COMMENTS AND CSA RESPONSES</w:t>
      </w:r>
    </w:p>
    <w:p>
      <w:pPr>
        <w:pStyle w:val="Style12"/>
        <w:keepNext w:val="0"/>
        <w:keepLines w:val="0"/>
        <w:widowControl w:val="0"/>
        <w:shd w:val="clear" w:color="auto" w:fill="auto"/>
        <w:bidi w:val="0"/>
        <w:spacing w:line="240" w:lineRule="auto"/>
        <w:ind w:left="0" w:firstLine="0"/>
        <w:jc w:val="left"/>
      </w:pPr>
      <w:r>
        <w:rPr>
          <w:rStyle w:val="CharStyle13"/>
          <w:b/>
          <w:bCs/>
        </w:rPr>
        <w:t>List of Commenters</w:t>
      </w:r>
    </w:p>
    <w:p>
      <w:pPr>
        <w:pStyle w:val="Style12"/>
        <w:keepNext w:val="0"/>
        <w:keepLines w:val="0"/>
        <w:widowControl w:val="0"/>
        <w:numPr>
          <w:ilvl w:val="0"/>
          <w:numId w:val="23"/>
        </w:numPr>
        <w:shd w:val="clear" w:color="auto" w:fill="auto"/>
        <w:tabs>
          <w:tab w:pos="665" w:val="left"/>
        </w:tabs>
        <w:bidi w:val="0"/>
        <w:spacing w:line="240" w:lineRule="auto"/>
        <w:ind w:left="0" w:firstLine="0"/>
        <w:jc w:val="left"/>
      </w:pPr>
      <w:r>
        <w:rPr>
          <w:rStyle w:val="CharStyle13"/>
        </w:rPr>
        <w:t>BMO Capital Markets</w:t>
      </w:r>
    </w:p>
    <w:p>
      <w:pPr>
        <w:pStyle w:val="Style12"/>
        <w:keepNext w:val="0"/>
        <w:keepLines w:val="0"/>
        <w:widowControl w:val="0"/>
        <w:numPr>
          <w:ilvl w:val="0"/>
          <w:numId w:val="23"/>
        </w:numPr>
        <w:shd w:val="clear" w:color="auto" w:fill="auto"/>
        <w:tabs>
          <w:tab w:pos="665" w:val="left"/>
        </w:tabs>
        <w:bidi w:val="0"/>
        <w:spacing w:line="240" w:lineRule="auto"/>
        <w:ind w:left="0" w:firstLine="0"/>
        <w:jc w:val="left"/>
      </w:pPr>
      <w:r>
        <w:rPr>
          <w:rStyle w:val="CharStyle13"/>
        </w:rPr>
        <w:t>Canadian Independent Finance and Innovation Counsel Inc.</w:t>
      </w:r>
    </w:p>
    <w:p>
      <w:pPr>
        <w:pStyle w:val="Style12"/>
        <w:keepNext w:val="0"/>
        <w:keepLines w:val="0"/>
        <w:widowControl w:val="0"/>
        <w:numPr>
          <w:ilvl w:val="0"/>
          <w:numId w:val="23"/>
        </w:numPr>
        <w:shd w:val="clear" w:color="auto" w:fill="auto"/>
        <w:tabs>
          <w:tab w:pos="665" w:val="left"/>
        </w:tabs>
        <w:bidi w:val="0"/>
        <w:spacing w:line="240" w:lineRule="auto"/>
        <w:ind w:left="0" w:firstLine="0"/>
        <w:jc w:val="left"/>
      </w:pPr>
      <w:r>
        <w:rPr>
          <w:rStyle w:val="CharStyle13"/>
        </w:rPr>
        <w:t>Investment Industry Association of Canada</w:t>
      </w:r>
    </w:p>
    <w:p>
      <w:pPr>
        <w:pStyle w:val="Style12"/>
        <w:keepNext w:val="0"/>
        <w:keepLines w:val="0"/>
        <w:widowControl w:val="0"/>
        <w:numPr>
          <w:ilvl w:val="0"/>
          <w:numId w:val="23"/>
        </w:numPr>
        <w:shd w:val="clear" w:color="auto" w:fill="auto"/>
        <w:tabs>
          <w:tab w:pos="665" w:val="left"/>
        </w:tabs>
        <w:bidi w:val="0"/>
        <w:spacing w:line="240" w:lineRule="auto"/>
        <w:ind w:left="0" w:firstLine="0"/>
        <w:jc w:val="left"/>
      </w:pPr>
      <w:r>
        <w:rPr>
          <w:rStyle w:val="CharStyle13"/>
        </w:rPr>
        <w:t>Nasdaq Canada</w:t>
      </w:r>
    </w:p>
    <w:p>
      <w:pPr>
        <w:pStyle w:val="Style12"/>
        <w:keepNext w:val="0"/>
        <w:keepLines w:val="0"/>
        <w:widowControl w:val="0"/>
        <w:numPr>
          <w:ilvl w:val="0"/>
          <w:numId w:val="23"/>
        </w:numPr>
        <w:shd w:val="clear" w:color="auto" w:fill="auto"/>
        <w:tabs>
          <w:tab w:pos="665" w:val="left"/>
        </w:tabs>
        <w:bidi w:val="0"/>
        <w:spacing w:line="240" w:lineRule="auto"/>
        <w:ind w:left="0" w:firstLine="0"/>
        <w:jc w:val="left"/>
      </w:pPr>
      <w:r>
        <w:rPr>
          <w:rStyle w:val="CharStyle13"/>
        </w:rPr>
        <w:t>National Bank Financial Inc.</w:t>
      </w:r>
    </w:p>
    <w:p>
      <w:pPr>
        <w:pStyle w:val="Style12"/>
        <w:keepNext w:val="0"/>
        <w:keepLines w:val="0"/>
        <w:widowControl w:val="0"/>
        <w:numPr>
          <w:ilvl w:val="0"/>
          <w:numId w:val="23"/>
        </w:numPr>
        <w:shd w:val="clear" w:color="auto" w:fill="auto"/>
        <w:tabs>
          <w:tab w:pos="665" w:val="left"/>
        </w:tabs>
        <w:bidi w:val="0"/>
        <w:spacing w:line="240" w:lineRule="auto"/>
        <w:ind w:left="0" w:firstLine="0"/>
        <w:jc w:val="left"/>
      </w:pPr>
      <w:r>
        <w:rPr>
          <w:rStyle w:val="CharStyle13"/>
        </w:rPr>
        <w:t>Scotiabank</w:t>
      </w:r>
    </w:p>
    <w:p>
      <w:pPr>
        <w:pStyle w:val="Style12"/>
        <w:keepNext w:val="0"/>
        <w:keepLines w:val="0"/>
        <w:widowControl w:val="0"/>
        <w:numPr>
          <w:ilvl w:val="0"/>
          <w:numId w:val="23"/>
        </w:numPr>
        <w:shd w:val="clear" w:color="auto" w:fill="auto"/>
        <w:tabs>
          <w:tab w:pos="665" w:val="left"/>
        </w:tabs>
        <w:bidi w:val="0"/>
        <w:spacing w:line="240" w:lineRule="auto"/>
        <w:ind w:left="0" w:firstLine="0"/>
        <w:jc w:val="left"/>
      </w:pPr>
      <w:r>
        <w:rPr>
          <w:rStyle w:val="CharStyle13"/>
        </w:rPr>
        <w:t>TD Securities</w:t>
      </w:r>
    </w:p>
    <w:p>
      <w:pPr>
        <w:pStyle w:val="Style12"/>
        <w:keepNext w:val="0"/>
        <w:keepLines w:val="0"/>
        <w:widowControl w:val="0"/>
        <w:numPr>
          <w:ilvl w:val="0"/>
          <w:numId w:val="23"/>
        </w:numPr>
        <w:shd w:val="clear" w:color="auto" w:fill="auto"/>
        <w:tabs>
          <w:tab w:pos="665" w:val="left"/>
        </w:tabs>
        <w:bidi w:val="0"/>
        <w:spacing w:line="240" w:lineRule="auto"/>
        <w:ind w:left="0" w:firstLine="0"/>
        <w:jc w:val="left"/>
      </w:pPr>
      <w:r>
        <w:rPr>
          <w:rStyle w:val="CharStyle13"/>
        </w:rPr>
        <w:t>TMX Group Limited</w:t>
      </w:r>
    </w:p>
    <w:p>
      <w:pPr>
        <w:pStyle w:val="Style12"/>
        <w:keepNext w:val="0"/>
        <w:keepLines w:val="0"/>
        <w:widowControl w:val="0"/>
        <w:numPr>
          <w:ilvl w:val="0"/>
          <w:numId w:val="23"/>
        </w:numPr>
        <w:shd w:val="clear" w:color="auto" w:fill="auto"/>
        <w:tabs>
          <w:tab w:pos="665" w:val="left"/>
        </w:tabs>
        <w:bidi w:val="0"/>
        <w:spacing w:line="240" w:lineRule="auto"/>
        <w:ind w:left="0" w:firstLine="0"/>
        <w:jc w:val="left"/>
      </w:pPr>
      <w:r>
        <w:rPr>
          <w:rStyle w:val="CharStyle13"/>
        </w:rPr>
        <w:t>Tradelogiq Markets Inc.</w:t>
      </w:r>
    </w:p>
    <w:p>
      <w:pPr>
        <w:pStyle w:val="Style12"/>
        <w:keepNext w:val="0"/>
        <w:keepLines w:val="0"/>
        <w:widowControl w:val="0"/>
        <w:numPr>
          <w:ilvl w:val="0"/>
          <w:numId w:val="23"/>
        </w:numPr>
        <w:shd w:val="clear" w:color="auto" w:fill="auto"/>
        <w:tabs>
          <w:tab w:pos="665" w:val="left"/>
        </w:tabs>
        <w:bidi w:val="0"/>
        <w:spacing w:line="240" w:lineRule="auto"/>
        <w:ind w:left="0" w:firstLine="0"/>
        <w:jc w:val="left"/>
      </w:pPr>
      <w:r>
        <w:rPr>
          <w:rStyle w:val="CharStyle13"/>
        </w:rPr>
        <w:t>Virtu Financial</w:t>
      </w:r>
    </w:p>
    <w:tbl>
      <w:tblPr>
        <w:tblOverlap w:val="never"/>
        <w:jc w:val="left"/>
        <w:tblLayout w:type="fixed"/>
      </w:tblPr>
      <w:tblGrid>
        <w:gridCol w:w="4819"/>
        <w:gridCol w:w="4824"/>
      </w:tblGrid>
      <w:tr>
        <w:trPr>
          <w:trHeight w:val="3600"/>
        </w:trPr>
        <w:tc>
          <w:tcPr>
            <w:gridSpan w:val="2"/>
            <w:tcBorders>
              <w:top w:val="single" w:sz="4"/>
              <w:left w:val="single" w:sz="4"/>
              <w:right w:val="single" w:sz="4"/>
            </w:tcBorders>
            <w:shd w:val="clear" w:color="auto" w:fill="auto"/>
            <w:vAlign w:val="top"/>
          </w:tcPr>
          <w:p>
            <w:pPr>
              <w:pStyle w:val="Style20"/>
              <w:keepNext w:val="0"/>
              <w:keepLines w:val="0"/>
              <w:widowControl w:val="0"/>
              <w:shd w:val="clear" w:color="auto" w:fill="auto"/>
              <w:bidi w:val="0"/>
              <w:spacing w:line="240" w:lineRule="auto"/>
              <w:ind w:left="0" w:firstLine="0"/>
              <w:jc w:val="left"/>
            </w:pPr>
            <w:r>
              <w:rPr>
                <w:rStyle w:val="CharStyle21"/>
                <w:b/>
                <w:bCs/>
              </w:rPr>
              <w:t>Question 1:</w:t>
            </w:r>
          </w:p>
          <w:p>
            <w:pPr>
              <w:pStyle w:val="Style20"/>
              <w:keepNext w:val="0"/>
              <w:keepLines w:val="0"/>
              <w:widowControl w:val="0"/>
              <w:numPr>
                <w:ilvl w:val="0"/>
                <w:numId w:val="25"/>
              </w:numPr>
              <w:shd w:val="clear" w:color="auto" w:fill="auto"/>
              <w:tabs>
                <w:tab w:pos="350" w:val="left"/>
              </w:tabs>
              <w:bidi w:val="0"/>
              <w:spacing w:line="240" w:lineRule="auto"/>
              <w:ind w:left="360" w:hanging="360"/>
              <w:jc w:val="left"/>
            </w:pPr>
            <w:r>
              <w:rPr>
                <w:rStyle w:val="CharStyle21"/>
                <w:b/>
                <w:bCs/>
              </w:rPr>
              <w:t>Do you agree with the proposal to align the maximum fee for executing an order involving a U.S. Inter-listed Security priced at CAD 1.00 or more with the reduced access fee cap adopted by the SEC:</w:t>
            </w:r>
          </w:p>
          <w:p>
            <w:pPr>
              <w:pStyle w:val="Style20"/>
              <w:keepNext w:val="0"/>
              <w:keepLines w:val="0"/>
              <w:widowControl w:val="0"/>
              <w:numPr>
                <w:ilvl w:val="0"/>
                <w:numId w:val="27"/>
              </w:numPr>
              <w:shd w:val="clear" w:color="auto" w:fill="auto"/>
              <w:tabs>
                <w:tab w:pos="1900" w:val="left"/>
              </w:tabs>
              <w:bidi w:val="0"/>
              <w:spacing w:line="240" w:lineRule="auto"/>
              <w:ind w:left="360" w:hanging="360"/>
              <w:jc w:val="left"/>
            </w:pPr>
            <w:r>
              <w:rPr>
                <w:rStyle w:val="CharStyle21"/>
                <w:b/>
                <w:bCs/>
              </w:rPr>
              <w:t>at CAD 0.0010, as proposed above, without consideration for the current foreign exchange rate, or</w:t>
            </w:r>
          </w:p>
          <w:p>
            <w:pPr>
              <w:pStyle w:val="Style20"/>
              <w:keepNext w:val="0"/>
              <w:keepLines w:val="0"/>
              <w:widowControl w:val="0"/>
              <w:numPr>
                <w:ilvl w:val="0"/>
                <w:numId w:val="27"/>
              </w:numPr>
              <w:shd w:val="clear" w:color="auto" w:fill="auto"/>
              <w:tabs>
                <w:tab w:pos="1900" w:val="left"/>
              </w:tabs>
              <w:bidi w:val="0"/>
              <w:spacing w:line="240" w:lineRule="auto"/>
              <w:ind w:left="360" w:hanging="360"/>
              <w:jc w:val="left"/>
            </w:pPr>
            <w:r>
              <w:rPr>
                <w:rStyle w:val="CharStyle21"/>
                <w:b/>
                <w:bCs/>
              </w:rPr>
              <w:t>at CAD 0.0014, which approximates the SEC’s adopted access fee cap with consideration for the foreign exchange rate (USD 0.0010 x 1.44)?</w:t>
            </w:r>
            <w:hyperlink w:anchor="bookmark20" w:tooltip="Current Document">
              <w:r>
                <w:rPr>
                  <w:rStyle w:val="CharStyle21"/>
                  <w:b/>
                  <w:bCs/>
                  <w:vertAlign w:val="superscript"/>
                </w:rPr>
                <w:t>5</w:t>
              </w:r>
            </w:hyperlink>
          </w:p>
          <w:p>
            <w:pPr>
              <w:pStyle w:val="Style20"/>
              <w:keepNext w:val="0"/>
              <w:keepLines w:val="0"/>
              <w:widowControl w:val="0"/>
              <w:numPr>
                <w:ilvl w:val="0"/>
                <w:numId w:val="25"/>
              </w:numPr>
              <w:shd w:val="clear" w:color="auto" w:fill="auto"/>
              <w:tabs>
                <w:tab w:pos="350" w:val="left"/>
              </w:tabs>
              <w:bidi w:val="0"/>
              <w:spacing w:line="240" w:lineRule="auto"/>
              <w:ind w:left="360" w:hanging="360"/>
              <w:jc w:val="left"/>
            </w:pPr>
            <w:r>
              <w:rPr>
                <w:rStyle w:val="CharStyle21"/>
                <w:b/>
                <w:bCs/>
              </w:rPr>
              <w:t>Alternatively, do you support aligning the access fee cap for U.S. Inter-listed Securities with the current fee cap for non-U.S. Inter-listed securities (CAD 0.0017)?</w:t>
            </w:r>
          </w:p>
          <w:p>
            <w:pPr>
              <w:pStyle w:val="Style20"/>
              <w:keepNext w:val="0"/>
              <w:keepLines w:val="0"/>
              <w:widowControl w:val="0"/>
              <w:numPr>
                <w:ilvl w:val="0"/>
                <w:numId w:val="25"/>
              </w:numPr>
              <w:shd w:val="clear" w:color="auto" w:fill="auto"/>
              <w:tabs>
                <w:tab w:pos="350" w:val="left"/>
              </w:tabs>
              <w:bidi w:val="0"/>
              <w:spacing w:line="240" w:lineRule="auto"/>
              <w:ind w:left="0" w:firstLine="0"/>
              <w:jc w:val="left"/>
            </w:pPr>
            <w:r>
              <w:rPr>
                <w:rStyle w:val="CharStyle21"/>
                <w:b/>
                <w:bCs/>
              </w:rPr>
              <w:t>Do you support any alternatives not listed above?</w:t>
            </w:r>
          </w:p>
          <w:p>
            <w:pPr>
              <w:pStyle w:val="Style20"/>
              <w:keepNext w:val="0"/>
              <w:keepLines w:val="0"/>
              <w:widowControl w:val="0"/>
              <w:shd w:val="clear" w:color="auto" w:fill="auto"/>
              <w:bidi w:val="0"/>
              <w:spacing w:line="240" w:lineRule="auto"/>
              <w:ind w:left="0" w:firstLine="0"/>
              <w:jc w:val="left"/>
            </w:pPr>
            <w:r>
              <w:rPr>
                <w:rStyle w:val="CharStyle21"/>
                <w:b/>
                <w:bCs/>
              </w:rPr>
              <w:t>Please provide rationale in support of or against any alternatives above.</w:t>
            </w:r>
          </w:p>
        </w:tc>
      </w:tr>
      <w:tr>
        <w:trPr>
          <w:trHeight w:val="283"/>
        </w:trPr>
        <w:tc>
          <w:tcPr>
            <w:tcBorders>
              <w:top w:val="single" w:sz="4"/>
              <w:left w:val="single" w:sz="4"/>
            </w:tcBorders>
            <w:shd w:val="clear" w:color="auto" w:fill="auto"/>
            <w:vAlign w:val="bottom"/>
          </w:tcPr>
          <w:p>
            <w:pPr>
              <w:pStyle w:val="Style20"/>
              <w:keepNext w:val="0"/>
              <w:keepLines w:val="0"/>
              <w:widowControl w:val="0"/>
              <w:shd w:val="clear" w:color="auto" w:fill="auto"/>
              <w:bidi w:val="0"/>
              <w:spacing w:line="240" w:lineRule="auto"/>
              <w:ind w:left="0" w:firstLine="0"/>
              <w:jc w:val="left"/>
            </w:pPr>
            <w:r>
              <w:rPr>
                <w:rStyle w:val="CharStyle21"/>
                <w:b/>
                <w:bCs/>
              </w:rPr>
              <w:t>Summary of Comments</w:t>
            </w:r>
          </w:p>
        </w:tc>
        <w:tc>
          <w:tcPr>
            <w:tcBorders>
              <w:top w:val="single" w:sz="4"/>
              <w:left w:val="single" w:sz="4"/>
              <w:right w:val="single" w:sz="4"/>
            </w:tcBorders>
            <w:shd w:val="clear" w:color="auto" w:fill="auto"/>
            <w:vAlign w:val="bottom"/>
          </w:tcPr>
          <w:p>
            <w:pPr>
              <w:pStyle w:val="Style20"/>
              <w:keepNext w:val="0"/>
              <w:keepLines w:val="0"/>
              <w:widowControl w:val="0"/>
              <w:shd w:val="clear" w:color="auto" w:fill="auto"/>
              <w:bidi w:val="0"/>
              <w:spacing w:line="240" w:lineRule="auto"/>
              <w:ind w:left="0" w:firstLine="0"/>
              <w:jc w:val="left"/>
            </w:pPr>
            <w:r>
              <w:rPr>
                <w:rStyle w:val="CharStyle21"/>
                <w:b/>
                <w:bCs/>
              </w:rPr>
              <w:t>CSA Response</w:t>
            </w:r>
          </w:p>
        </w:tc>
      </w:tr>
      <w:tr>
        <w:trPr>
          <w:trHeight w:val="5261"/>
        </w:trPr>
        <w:tc>
          <w:tcPr>
            <w:tcBorders>
              <w:top w:val="single" w:sz="4"/>
              <w:left w:val="single" w:sz="4"/>
            </w:tcBorders>
            <w:shd w:val="clear" w:color="auto" w:fill="auto"/>
            <w:vAlign w:val="top"/>
          </w:tcPr>
          <w:p>
            <w:pPr>
              <w:pStyle w:val="Style20"/>
              <w:keepNext w:val="0"/>
              <w:keepLines w:val="0"/>
              <w:widowControl w:val="0"/>
              <w:numPr>
                <w:ilvl w:val="0"/>
                <w:numId w:val="29"/>
              </w:numPr>
              <w:shd w:val="clear" w:color="auto" w:fill="auto"/>
              <w:tabs>
                <w:tab w:pos="810" w:val="left"/>
              </w:tabs>
              <w:bidi w:val="0"/>
              <w:spacing w:line="240" w:lineRule="auto"/>
              <w:ind w:left="360" w:hanging="360"/>
              <w:jc w:val="left"/>
            </w:pPr>
            <w:r>
              <w:rPr>
                <w:rStyle w:val="CharStyle21"/>
              </w:rPr>
              <w:t>Five commentors supported a CAD 0.0010 fee cap.</w:t>
            </w:r>
          </w:p>
          <w:p>
            <w:pPr>
              <w:pStyle w:val="Style20"/>
              <w:keepNext w:val="0"/>
              <w:keepLines w:val="0"/>
              <w:widowControl w:val="0"/>
              <w:numPr>
                <w:ilvl w:val="0"/>
                <w:numId w:val="29"/>
              </w:numPr>
              <w:shd w:val="clear" w:color="auto" w:fill="auto"/>
              <w:tabs>
                <w:tab w:pos="810" w:val="left"/>
              </w:tabs>
              <w:bidi w:val="0"/>
              <w:spacing w:line="262" w:lineRule="auto"/>
              <w:ind w:left="360" w:hanging="360"/>
              <w:jc w:val="left"/>
            </w:pPr>
            <w:r>
              <w:rPr>
                <w:rStyle w:val="CharStyle21"/>
              </w:rPr>
              <w:t>One commentor supported eliminating the distinction in fee caps between U.S. Inter-listed Securities and non-U.S. Inter-listed Securities. The fee cap for non-U.S. Inter-listed Securities is currently CAD 0.0017.</w:t>
            </w:r>
          </w:p>
          <w:p>
            <w:pPr>
              <w:pStyle w:val="Style20"/>
              <w:keepNext w:val="0"/>
              <w:keepLines w:val="0"/>
              <w:widowControl w:val="0"/>
              <w:numPr>
                <w:ilvl w:val="0"/>
                <w:numId w:val="29"/>
              </w:numPr>
              <w:shd w:val="clear" w:color="auto" w:fill="auto"/>
              <w:tabs>
                <w:tab w:pos="810" w:val="left"/>
              </w:tabs>
              <w:bidi w:val="0"/>
              <w:spacing w:line="254" w:lineRule="auto"/>
              <w:ind w:left="360" w:hanging="360"/>
              <w:jc w:val="left"/>
            </w:pPr>
            <w:r>
              <w:rPr>
                <w:rStyle w:val="CharStyle21"/>
              </w:rPr>
              <w:t>One commentor supported a CAD 0.0025 fee cap.</w:t>
            </w:r>
          </w:p>
          <w:p>
            <w:pPr>
              <w:pStyle w:val="Style20"/>
              <w:keepNext w:val="0"/>
              <w:keepLines w:val="0"/>
              <w:widowControl w:val="0"/>
              <w:numPr>
                <w:ilvl w:val="0"/>
                <w:numId w:val="29"/>
              </w:numPr>
              <w:shd w:val="clear" w:color="auto" w:fill="auto"/>
              <w:tabs>
                <w:tab w:pos="810" w:val="left"/>
              </w:tabs>
              <w:bidi w:val="0"/>
              <w:spacing w:line="259" w:lineRule="auto"/>
              <w:ind w:left="360" w:hanging="360"/>
              <w:jc w:val="left"/>
            </w:pPr>
            <w:r>
              <w:rPr>
                <w:rStyle w:val="CharStyle21"/>
              </w:rPr>
              <w:t>One commentor supported a CAD 0.0030 fee cap, but if they had to choose one of the options listed, they would support a CAD 0.0017 fee cap.</w:t>
            </w:r>
          </w:p>
          <w:p>
            <w:pPr>
              <w:pStyle w:val="Style20"/>
              <w:keepNext w:val="0"/>
              <w:keepLines w:val="0"/>
              <w:widowControl w:val="0"/>
              <w:numPr>
                <w:ilvl w:val="0"/>
                <w:numId w:val="29"/>
              </w:numPr>
              <w:shd w:val="clear" w:color="auto" w:fill="auto"/>
              <w:tabs>
                <w:tab w:pos="810" w:val="left"/>
              </w:tabs>
              <w:bidi w:val="0"/>
              <w:spacing w:line="257" w:lineRule="auto"/>
              <w:ind w:left="360" w:hanging="360"/>
              <w:jc w:val="left"/>
            </w:pPr>
            <w:r>
              <w:rPr>
                <w:rStyle w:val="CharStyle21"/>
              </w:rPr>
              <w:t>Two commentors supported eliminating fee caps in favour of a market-driven fee structure.</w:t>
            </w:r>
          </w:p>
        </w:tc>
        <w:tc>
          <w:tcPr>
            <w:tcBorders>
              <w:top w:val="single" w:sz="4"/>
              <w:left w:val="single" w:sz="4"/>
              <w:right w:val="single" w:sz="4"/>
            </w:tcBorders>
            <w:shd w:val="clear" w:color="auto" w:fill="auto"/>
            <w:vAlign w:val="top"/>
          </w:tcPr>
          <w:p>
            <w:pPr>
              <w:pStyle w:val="Style20"/>
              <w:keepNext w:val="0"/>
              <w:keepLines w:val="0"/>
              <w:widowControl w:val="0"/>
              <w:shd w:val="clear" w:color="auto" w:fill="auto"/>
              <w:bidi w:val="0"/>
              <w:spacing w:line="264" w:lineRule="auto"/>
              <w:ind w:left="0" w:firstLine="0"/>
              <w:jc w:val="left"/>
            </w:pPr>
            <w:r>
              <w:rPr>
                <w:rStyle w:val="CharStyle21"/>
              </w:rPr>
              <w:t>We have amended the rule to implement a CAD 0.0017 fee cap.</w:t>
            </w:r>
          </w:p>
        </w:tc>
      </w:tr>
      <w:tr>
        <w:trPr>
          <w:trHeight w:val="1627"/>
        </w:trPr>
        <w:tc>
          <w:tcPr>
            <w:gridSpan w:val="2"/>
            <w:tcBorders>
              <w:top w:val="single" w:sz="4"/>
              <w:left w:val="single" w:sz="4"/>
              <w:right w:val="single" w:sz="4"/>
            </w:tcBorders>
            <w:shd w:val="clear" w:color="auto" w:fill="auto"/>
            <w:vAlign w:val="center"/>
          </w:tcPr>
          <w:p>
            <w:pPr>
              <w:pStyle w:val="Style20"/>
              <w:keepNext w:val="0"/>
              <w:keepLines w:val="0"/>
              <w:widowControl w:val="0"/>
              <w:shd w:val="clear" w:color="auto" w:fill="auto"/>
              <w:bidi w:val="0"/>
              <w:spacing w:line="266" w:lineRule="auto"/>
              <w:ind w:left="0" w:firstLine="0"/>
              <w:jc w:val="left"/>
            </w:pPr>
            <w:r>
              <w:rPr>
                <w:rStyle w:val="CharStyle21"/>
                <w:b/>
                <w:bCs/>
              </w:rPr>
              <w:t>Question 2:</w:t>
            </w:r>
          </w:p>
          <w:p>
            <w:pPr>
              <w:pStyle w:val="Style20"/>
              <w:keepNext w:val="0"/>
              <w:keepLines w:val="0"/>
              <w:widowControl w:val="0"/>
              <w:shd w:val="clear" w:color="auto" w:fill="auto"/>
              <w:bidi w:val="0"/>
              <w:spacing w:line="266" w:lineRule="auto"/>
              <w:ind w:left="0" w:firstLine="0"/>
              <w:jc w:val="left"/>
            </w:pPr>
            <w:r>
              <w:rPr>
                <w:rStyle w:val="CharStyle21"/>
                <w:b/>
                <w:bCs/>
              </w:rPr>
              <w:t>Will the competitiveness of the Canadian capital markets be impaired if only the trading fee caps are lowered for U.S. Inter-listed Securities? Please provide supporting rationale.</w:t>
            </w:r>
          </w:p>
        </w:tc>
      </w:tr>
      <w:tr>
        <w:trPr>
          <w:trHeight w:val="413"/>
        </w:trPr>
        <w:tc>
          <w:tcPr>
            <w:tcBorders>
              <w:top w:val="single" w:sz="4"/>
              <w:left w:val="single" w:sz="4"/>
            </w:tcBorders>
            <w:shd w:val="clear" w:color="auto" w:fill="auto"/>
            <w:vAlign w:val="bottom"/>
          </w:tcPr>
          <w:p>
            <w:pPr>
              <w:pStyle w:val="Style20"/>
              <w:keepNext w:val="0"/>
              <w:keepLines w:val="0"/>
              <w:widowControl w:val="0"/>
              <w:shd w:val="clear" w:color="auto" w:fill="auto"/>
              <w:bidi w:val="0"/>
              <w:spacing w:line="240" w:lineRule="auto"/>
              <w:ind w:left="0" w:firstLine="0"/>
              <w:jc w:val="left"/>
            </w:pPr>
            <w:r>
              <w:rPr>
                <w:rStyle w:val="CharStyle21"/>
                <w:b/>
                <w:bCs/>
              </w:rPr>
              <w:t>Summary of Comments</w:t>
            </w:r>
          </w:p>
        </w:tc>
        <w:tc>
          <w:tcPr>
            <w:tcBorders>
              <w:top w:val="single" w:sz="4"/>
              <w:left w:val="single" w:sz="4"/>
              <w:right w:val="single" w:sz="4"/>
            </w:tcBorders>
            <w:shd w:val="clear" w:color="auto" w:fill="auto"/>
            <w:vAlign w:val="bottom"/>
          </w:tcPr>
          <w:p>
            <w:pPr>
              <w:pStyle w:val="Style20"/>
              <w:keepNext w:val="0"/>
              <w:keepLines w:val="0"/>
              <w:widowControl w:val="0"/>
              <w:shd w:val="clear" w:color="auto" w:fill="auto"/>
              <w:bidi w:val="0"/>
              <w:spacing w:line="240" w:lineRule="auto"/>
              <w:ind w:left="0" w:firstLine="0"/>
              <w:jc w:val="left"/>
            </w:pPr>
            <w:r>
              <w:rPr>
                <w:rStyle w:val="CharStyle21"/>
                <w:b/>
                <w:bCs/>
              </w:rPr>
              <w:t>CSA Response</w:t>
            </w:r>
          </w:p>
        </w:tc>
      </w:tr>
      <w:tr>
        <w:trPr>
          <w:trHeight w:val="1248"/>
        </w:trPr>
        <w:tc>
          <w:tcPr>
            <w:tcBorders>
              <w:top w:val="single" w:sz="4"/>
              <w:left w:val="single" w:sz="4"/>
              <w:bottom w:val="single" w:sz="4"/>
            </w:tcBorders>
            <w:shd w:val="clear" w:color="auto" w:fill="auto"/>
            <w:vAlign w:val="bottom"/>
          </w:tcPr>
          <w:p>
            <w:pPr>
              <w:pStyle w:val="Style20"/>
              <w:keepNext w:val="0"/>
              <w:keepLines w:val="0"/>
              <w:widowControl w:val="0"/>
              <w:shd w:val="clear" w:color="auto" w:fill="auto"/>
              <w:bidi w:val="0"/>
              <w:spacing w:line="259" w:lineRule="auto"/>
              <w:ind w:left="360" w:hanging="360"/>
              <w:jc w:val="left"/>
            </w:pPr>
            <w:r>
              <w:rPr>
                <w:rStyle w:val="CharStyle21"/>
                <w:rFonts w:ascii="Courier New" w:eastAsia="Courier New" w:hAnsi="Courier New" w:cs="Courier New"/>
                <w:b/>
                <w:bCs/>
              </w:rPr>
              <w:t xml:space="preserve">• </w:t>
            </w:r>
            <w:r>
              <w:rPr>
                <w:rStyle w:val="CharStyle21"/>
              </w:rPr>
              <w:t>One commentor believes that any change in trading fee caps will not impact how companies use U.S Inter</w:t>
              <w:softHyphen/>
              <w:t>listed Securities.</w:t>
            </w:r>
          </w:p>
        </w:tc>
        <w:tc>
          <w:tcPr>
            <w:tcBorders>
              <w:top w:val="single" w:sz="4"/>
              <w:left w:val="single" w:sz="4"/>
              <w:bottom w:val="single" w:sz="4"/>
              <w:right w:val="single" w:sz="4"/>
            </w:tcBorders>
            <w:shd w:val="clear" w:color="auto" w:fill="auto"/>
            <w:vAlign w:val="bottom"/>
          </w:tcPr>
          <w:p>
            <w:pPr>
              <w:pStyle w:val="Style20"/>
              <w:keepNext w:val="0"/>
              <w:keepLines w:val="0"/>
              <w:widowControl w:val="0"/>
              <w:shd w:val="clear" w:color="auto" w:fill="auto"/>
              <w:bidi w:val="0"/>
              <w:spacing w:line="264" w:lineRule="auto"/>
              <w:ind w:left="0" w:firstLine="0"/>
              <w:jc w:val="left"/>
            </w:pPr>
            <w:r>
              <w:rPr>
                <w:rStyle w:val="CharStyle21"/>
              </w:rPr>
              <w:t>We are monitoring and will continue to monitor how any changes to the trading fee cap impact the competitiveness of the Canadian capital markets.</w:t>
            </w:r>
          </w:p>
        </w:tc>
      </w:tr>
    </w:tbl>
    <w:p>
      <w:pPr>
        <w:pStyle w:val="Style36"/>
        <w:keepNext w:val="0"/>
        <w:keepLines w:val="0"/>
        <w:widowControl w:val="0"/>
        <w:shd w:val="clear" w:color="auto" w:fill="auto"/>
        <w:bidi w:val="0"/>
        <w:spacing w:line="240" w:lineRule="auto"/>
        <w:ind w:left="0" w:firstLine="0"/>
        <w:jc w:val="left"/>
      </w:pPr>
      <w:bookmarkStart w:id="20" w:name="bookmark20"/>
      <w:r>
        <w:rPr>
          <w:rStyle w:val="CharStyle37"/>
          <w:vertAlign w:val="superscript"/>
        </w:rPr>
        <w:t>5</w:t>
      </w:r>
      <w:r>
        <w:rPr>
          <w:rStyle w:val="CharStyle37"/>
        </w:rPr>
        <w:t xml:space="preserve"> The CAD/USD exchange rate was approximately 1.44 at the time of publication of the Request for Comment.</w:t>
      </w:r>
      <w:bookmarkEnd w:id="20"/>
    </w:p>
    <w:tbl>
      <w:tblPr>
        <w:tblOverlap w:val="never"/>
        <w:jc w:val="left"/>
        <w:tblLayout w:type="fixed"/>
      </w:tblPr>
      <w:tblGrid>
        <w:gridCol w:w="4819"/>
        <w:gridCol w:w="4824"/>
      </w:tblGrid>
      <w:tr>
        <w:trPr>
          <w:trHeight w:val="4906"/>
        </w:trPr>
        <w:tc>
          <w:tcPr>
            <w:tcBorders>
              <w:top w:val="single" w:sz="4"/>
              <w:left w:val="single" w:sz="4"/>
            </w:tcBorders>
            <w:shd w:val="clear" w:color="auto" w:fill="auto"/>
            <w:vAlign w:val="bottom"/>
          </w:tcPr>
          <w:p>
            <w:pPr>
              <w:pStyle w:val="Style20"/>
              <w:keepNext w:val="0"/>
              <w:keepLines w:val="0"/>
              <w:widowControl w:val="0"/>
              <w:numPr>
                <w:ilvl w:val="0"/>
                <w:numId w:val="31"/>
              </w:numPr>
              <w:shd w:val="clear" w:color="auto" w:fill="auto"/>
              <w:tabs>
                <w:tab w:pos="815" w:val="left"/>
              </w:tabs>
              <w:bidi w:val="0"/>
              <w:spacing w:line="262" w:lineRule="auto"/>
              <w:ind w:left="360" w:hanging="360"/>
              <w:jc w:val="left"/>
            </w:pPr>
            <w:r>
              <w:rPr>
                <w:rStyle w:val="CharStyle21"/>
              </w:rPr>
              <w:t>Two commentors believe that lowering Canadian trading fee caps on U.S. Inter</w:t>
              <w:softHyphen/>
              <w:t>listed Securities could incentivize Canadian investors and traders to use more U.S. marketplaces where higher rebates can be offered, leading to decreased order flow in Canada.</w:t>
            </w:r>
          </w:p>
          <w:p>
            <w:pPr>
              <w:pStyle w:val="Style20"/>
              <w:keepNext w:val="0"/>
              <w:keepLines w:val="0"/>
              <w:widowControl w:val="0"/>
              <w:numPr>
                <w:ilvl w:val="0"/>
                <w:numId w:val="31"/>
              </w:numPr>
              <w:shd w:val="clear" w:color="auto" w:fill="auto"/>
              <w:tabs>
                <w:tab w:pos="815" w:val="left"/>
              </w:tabs>
              <w:bidi w:val="0"/>
              <w:spacing w:line="262" w:lineRule="auto"/>
              <w:ind w:left="360" w:hanging="360"/>
              <w:jc w:val="left"/>
            </w:pPr>
            <w:r>
              <w:rPr>
                <w:rStyle w:val="CharStyle21"/>
              </w:rPr>
              <w:t>Three commentors believe having a harmonized fee cap for all securities in Canada would reduce marketplace fee complexity. There was some disagreement on what that harmonized fee should be — some commentors supported a CAD 0.0010 fee cap for all securities, whereas others supported a CAS 0.0017 fee cap for all securities.</w:t>
            </w:r>
          </w:p>
        </w:tc>
        <w:tc>
          <w:tcPr>
            <w:tcBorders>
              <w:top w:val="single" w:sz="4"/>
              <w:left w:val="single" w:sz="4"/>
              <w:right w:val="single" w:sz="4"/>
            </w:tcBorders>
            <w:shd w:val="clear" w:color="auto" w:fill="auto"/>
            <w:vAlign w:val="top"/>
          </w:tcPr>
          <w:p>
            <w:pPr>
              <w:widowControl w:val="0"/>
              <w:rPr>
                <w:sz w:val="10"/>
                <w:szCs w:val="10"/>
              </w:rPr>
            </w:pPr>
          </w:p>
        </w:tc>
      </w:tr>
      <w:tr>
        <w:trPr>
          <w:trHeight w:val="1382"/>
        </w:trPr>
        <w:tc>
          <w:tcPr>
            <w:gridSpan w:val="2"/>
            <w:tcBorders>
              <w:top w:val="single" w:sz="4"/>
              <w:left w:val="single" w:sz="4"/>
              <w:right w:val="single" w:sz="4"/>
            </w:tcBorders>
            <w:shd w:val="clear" w:color="auto" w:fill="auto"/>
            <w:vAlign w:val="bottom"/>
          </w:tcPr>
          <w:p>
            <w:pPr>
              <w:pStyle w:val="Style20"/>
              <w:keepNext w:val="0"/>
              <w:keepLines w:val="0"/>
              <w:widowControl w:val="0"/>
              <w:shd w:val="clear" w:color="auto" w:fill="auto"/>
              <w:bidi w:val="0"/>
              <w:spacing w:line="264" w:lineRule="auto"/>
              <w:ind w:left="0" w:firstLine="0"/>
              <w:jc w:val="left"/>
            </w:pPr>
            <w:r>
              <w:rPr>
                <w:rStyle w:val="CharStyle21"/>
                <w:b/>
                <w:bCs/>
              </w:rPr>
              <w:t>Question 3:</w:t>
            </w:r>
          </w:p>
          <w:p>
            <w:pPr>
              <w:pStyle w:val="Style20"/>
              <w:keepNext w:val="0"/>
              <w:keepLines w:val="0"/>
              <w:widowControl w:val="0"/>
              <w:shd w:val="clear" w:color="auto" w:fill="auto"/>
              <w:bidi w:val="0"/>
              <w:spacing w:line="264" w:lineRule="auto"/>
              <w:ind w:left="0" w:firstLine="0"/>
              <w:jc w:val="left"/>
            </w:pPr>
            <w:r>
              <w:rPr>
                <w:rStyle w:val="CharStyle21"/>
                <w:b/>
                <w:bCs/>
              </w:rPr>
              <w:t>Should the trading fee caps apply to trading fees paid by passive orders in inverted (taker</w:t>
              <w:softHyphen/>
              <w:t>maker) markets? Please provide supporting rationale. What would be the costs and benefits of applying the cap to inverted markets?</w:t>
            </w:r>
          </w:p>
        </w:tc>
      </w:tr>
      <w:tr>
        <w:trPr>
          <w:trHeight w:val="413"/>
        </w:trPr>
        <w:tc>
          <w:tcPr>
            <w:tcBorders>
              <w:top w:val="single" w:sz="4"/>
              <w:left w:val="single" w:sz="4"/>
            </w:tcBorders>
            <w:shd w:val="clear" w:color="auto" w:fill="auto"/>
            <w:vAlign w:val="bottom"/>
          </w:tcPr>
          <w:p>
            <w:pPr>
              <w:pStyle w:val="Style20"/>
              <w:keepNext w:val="0"/>
              <w:keepLines w:val="0"/>
              <w:widowControl w:val="0"/>
              <w:shd w:val="clear" w:color="auto" w:fill="auto"/>
              <w:bidi w:val="0"/>
              <w:spacing w:line="240" w:lineRule="auto"/>
              <w:ind w:left="0" w:firstLine="0"/>
              <w:jc w:val="left"/>
            </w:pPr>
            <w:r>
              <w:rPr>
                <w:rStyle w:val="CharStyle21"/>
                <w:b/>
                <w:bCs/>
              </w:rPr>
              <w:t>Summary of Comments</w:t>
            </w:r>
          </w:p>
        </w:tc>
        <w:tc>
          <w:tcPr>
            <w:tcBorders>
              <w:top w:val="single" w:sz="4"/>
              <w:left w:val="single" w:sz="4"/>
              <w:right w:val="single" w:sz="4"/>
            </w:tcBorders>
            <w:shd w:val="clear" w:color="auto" w:fill="auto"/>
            <w:vAlign w:val="bottom"/>
          </w:tcPr>
          <w:p>
            <w:pPr>
              <w:pStyle w:val="Style20"/>
              <w:keepNext w:val="0"/>
              <w:keepLines w:val="0"/>
              <w:widowControl w:val="0"/>
              <w:shd w:val="clear" w:color="auto" w:fill="auto"/>
              <w:bidi w:val="0"/>
              <w:spacing w:line="240" w:lineRule="auto"/>
              <w:ind w:left="0" w:firstLine="0"/>
              <w:jc w:val="left"/>
            </w:pPr>
            <w:r>
              <w:rPr>
                <w:rStyle w:val="CharStyle21"/>
                <w:b/>
                <w:bCs/>
              </w:rPr>
              <w:t>CSA Response</w:t>
            </w:r>
          </w:p>
        </w:tc>
      </w:tr>
      <w:tr>
        <w:trPr>
          <w:trHeight w:val="5515"/>
        </w:trPr>
        <w:tc>
          <w:tcPr>
            <w:tcBorders>
              <w:top w:val="single" w:sz="4"/>
              <w:left w:val="single" w:sz="4"/>
              <w:bottom w:val="single" w:sz="4"/>
            </w:tcBorders>
            <w:shd w:val="clear" w:color="auto" w:fill="auto"/>
            <w:vAlign w:val="bottom"/>
          </w:tcPr>
          <w:p>
            <w:pPr>
              <w:pStyle w:val="Style20"/>
              <w:keepNext w:val="0"/>
              <w:keepLines w:val="0"/>
              <w:widowControl w:val="0"/>
              <w:numPr>
                <w:ilvl w:val="0"/>
                <w:numId w:val="33"/>
              </w:numPr>
              <w:shd w:val="clear" w:color="auto" w:fill="auto"/>
              <w:tabs>
                <w:tab w:pos="815" w:val="left"/>
              </w:tabs>
              <w:bidi w:val="0"/>
              <w:spacing w:line="262" w:lineRule="auto"/>
              <w:ind w:left="360" w:hanging="360"/>
              <w:jc w:val="left"/>
            </w:pPr>
            <w:r>
              <w:rPr>
                <w:rStyle w:val="CharStyle21"/>
              </w:rPr>
              <w:t>Two commentors supported applying the same trading fee caps paid by passive orders in inverted markets as those in non-inverted markets as externalities and distortions raise overall transactions costs for the market.</w:t>
            </w:r>
          </w:p>
          <w:p>
            <w:pPr>
              <w:pStyle w:val="Style20"/>
              <w:keepNext w:val="0"/>
              <w:keepLines w:val="0"/>
              <w:widowControl w:val="0"/>
              <w:numPr>
                <w:ilvl w:val="0"/>
                <w:numId w:val="33"/>
              </w:numPr>
              <w:shd w:val="clear" w:color="auto" w:fill="auto"/>
              <w:tabs>
                <w:tab w:pos="815" w:val="left"/>
              </w:tabs>
              <w:bidi w:val="0"/>
              <w:spacing w:line="262" w:lineRule="auto"/>
              <w:ind w:left="360" w:hanging="360"/>
              <w:jc w:val="left"/>
            </w:pPr>
            <w:r>
              <w:rPr>
                <w:rStyle w:val="CharStyle21"/>
              </w:rPr>
              <w:t xml:space="preserve">Two commentors said that </w:t>
            </w:r>
            <w:r>
              <w:rPr>
                <w:rStyle w:val="CharStyle21"/>
                <w:rFonts w:ascii="Arial" w:eastAsia="Arial" w:hAnsi="Arial" w:cs="Arial"/>
                <w:sz w:val="22"/>
                <w:szCs w:val="22"/>
              </w:rPr>
              <w:t>t</w:t>
            </w:r>
            <w:r>
              <w:rPr>
                <w:rStyle w:val="CharStyle21"/>
              </w:rPr>
              <w:t>here should be no regulatory restriction on the level of fees for passive orders or associated rebates for active orders on inverted venues because a natural limit, determined by market forces, already exists. At some point, the liquidity providing fee becomes too expensive for participants to make markets and liquidity providers will stop routing orders to the marketplace.</w:t>
            </w:r>
          </w:p>
        </w:tc>
        <w:tc>
          <w:tcPr>
            <w:tcBorders>
              <w:top w:val="single" w:sz="4"/>
              <w:left w:val="single" w:sz="4"/>
              <w:bottom w:val="single" w:sz="4"/>
              <w:right w:val="single" w:sz="4"/>
            </w:tcBorders>
            <w:shd w:val="clear" w:color="auto" w:fill="auto"/>
            <w:vAlign w:val="top"/>
          </w:tcPr>
          <w:p>
            <w:pPr>
              <w:pStyle w:val="Style20"/>
              <w:keepNext w:val="0"/>
              <w:keepLines w:val="0"/>
              <w:widowControl w:val="0"/>
              <w:shd w:val="clear" w:color="auto" w:fill="auto"/>
              <w:bidi w:val="0"/>
              <w:spacing w:line="264" w:lineRule="auto"/>
              <w:ind w:left="0" w:firstLine="0"/>
              <w:jc w:val="left"/>
            </w:pPr>
            <w:r>
              <w:rPr>
                <w:rStyle w:val="CharStyle21"/>
              </w:rPr>
              <w:t>The fee cap is intended to apply to orders that a marketplace participant may be required to interact with as a result of the order protection rule. No one is required to post a passive order on an inverted market.</w:t>
            </w:r>
          </w:p>
        </w:tc>
      </w:tr>
    </w:tbl>
    <w:p>
      <w:pPr>
        <w:pStyle w:val="Style12"/>
        <w:keepNext w:val="0"/>
        <w:keepLines w:val="0"/>
        <w:widowControl w:val="0"/>
        <w:shd w:val="clear" w:color="auto" w:fill="auto"/>
        <w:bidi w:val="0"/>
        <w:spacing w:line="240" w:lineRule="auto"/>
        <w:ind w:left="0" w:firstLine="0"/>
        <w:jc w:val="left"/>
      </w:pPr>
      <w:r>
        <w:rPr>
          <w:rStyle w:val="CharStyle13"/>
          <w:b/>
          <w:bCs/>
        </w:rPr>
        <w:t>Question 4:</w:t>
      </w:r>
    </w:p>
    <w:p>
      <w:pPr>
        <w:pStyle w:val="Style12"/>
        <w:keepNext w:val="0"/>
        <w:keepLines w:val="0"/>
        <w:widowControl w:val="0"/>
        <w:shd w:val="clear" w:color="auto" w:fill="auto"/>
        <w:bidi w:val="0"/>
        <w:spacing w:line="240" w:lineRule="auto"/>
        <w:ind w:left="0" w:firstLine="0"/>
        <w:jc w:val="left"/>
      </w:pPr>
      <w:r>
        <w:rPr>
          <w:rStyle w:val="CharStyle13"/>
          <w:b/>
          <w:bCs/>
        </w:rPr>
        <w:t>As part of the final rules adopted on September 18, 2024, the SEC rules prohibit a national securities exchange from imposing any fee or providing any rebate for the execution of an order in an NMS stock unless such fee or rebate can be determined at the time of execution. Please discuss whether we should take a similar approach in Canada.</w:t>
      </w:r>
    </w:p>
    <w:tbl>
      <w:tblPr>
        <w:tblOverlap w:val="never"/>
        <w:jc w:val="left"/>
        <w:tblLayout w:type="fixed"/>
      </w:tblPr>
      <w:tblGrid>
        <w:gridCol w:w="4819"/>
        <w:gridCol w:w="4824"/>
      </w:tblGrid>
      <w:tr>
        <w:trPr>
          <w:trHeight w:val="322"/>
        </w:trPr>
        <w:tc>
          <w:tcPr>
            <w:tcBorders>
              <w:top w:val="single" w:sz="4"/>
              <w:left w:val="single" w:sz="4"/>
            </w:tcBorders>
            <w:shd w:val="clear" w:color="auto" w:fill="auto"/>
            <w:vAlign w:val="bottom"/>
          </w:tcPr>
          <w:p>
            <w:pPr>
              <w:pStyle w:val="Style20"/>
              <w:keepNext w:val="0"/>
              <w:keepLines w:val="0"/>
              <w:widowControl w:val="0"/>
              <w:shd w:val="clear" w:color="auto" w:fill="auto"/>
              <w:bidi w:val="0"/>
              <w:spacing w:line="240" w:lineRule="auto"/>
              <w:ind w:left="0" w:firstLine="0"/>
              <w:jc w:val="left"/>
            </w:pPr>
            <w:r>
              <w:rPr>
                <w:rStyle w:val="CharStyle21"/>
                <w:b/>
                <w:bCs/>
              </w:rPr>
              <w:t>Summary of Comments</w:t>
            </w:r>
          </w:p>
        </w:tc>
        <w:tc>
          <w:tcPr>
            <w:tcBorders>
              <w:top w:val="single" w:sz="4"/>
              <w:left w:val="single" w:sz="4"/>
              <w:right w:val="single" w:sz="4"/>
            </w:tcBorders>
            <w:shd w:val="clear" w:color="auto" w:fill="auto"/>
            <w:vAlign w:val="bottom"/>
          </w:tcPr>
          <w:p>
            <w:pPr>
              <w:pStyle w:val="Style20"/>
              <w:keepNext w:val="0"/>
              <w:keepLines w:val="0"/>
              <w:widowControl w:val="0"/>
              <w:shd w:val="clear" w:color="auto" w:fill="auto"/>
              <w:bidi w:val="0"/>
              <w:spacing w:line="240" w:lineRule="auto"/>
              <w:ind w:left="0" w:firstLine="0"/>
              <w:jc w:val="left"/>
            </w:pPr>
            <w:r>
              <w:rPr>
                <w:rStyle w:val="CharStyle21"/>
                <w:b/>
                <w:bCs/>
              </w:rPr>
              <w:t>CSA Response</w:t>
            </w:r>
          </w:p>
        </w:tc>
      </w:tr>
      <w:tr>
        <w:trPr>
          <w:trHeight w:val="2760"/>
        </w:trPr>
        <w:tc>
          <w:tcPr>
            <w:tcBorders>
              <w:top w:val="single" w:sz="4"/>
              <w:left w:val="single" w:sz="4"/>
              <w:bottom w:val="single" w:sz="4"/>
            </w:tcBorders>
            <w:shd w:val="clear" w:color="auto" w:fill="auto"/>
            <w:vAlign w:val="bottom"/>
          </w:tcPr>
          <w:p>
            <w:pPr>
              <w:pStyle w:val="Style20"/>
              <w:keepNext w:val="0"/>
              <w:keepLines w:val="0"/>
              <w:widowControl w:val="0"/>
              <w:shd w:val="clear" w:color="auto" w:fill="auto"/>
              <w:bidi w:val="0"/>
              <w:spacing w:line="262" w:lineRule="auto"/>
              <w:ind w:left="360" w:hanging="360"/>
              <w:jc w:val="left"/>
            </w:pPr>
            <w:r>
              <w:rPr>
                <w:rStyle w:val="CharStyle21"/>
                <w:rFonts w:ascii="Courier New" w:eastAsia="Courier New" w:hAnsi="Courier New" w:cs="Courier New"/>
                <w:b/>
                <w:bCs/>
              </w:rPr>
              <w:t xml:space="preserve">• </w:t>
            </w:r>
            <w:r>
              <w:rPr>
                <w:rStyle w:val="CharStyle21"/>
              </w:rPr>
              <w:t>Generally, all commentors support pre</w:t>
              <w:softHyphen/>
              <w:t>trade transparency in trading fees. Some commentors agreed that investors benefit from understanding the full extent of the trading costs at the time of execution. However, other commentors believe that using the existing published fee schedules is sufficient for pre-trade fee transparency.</w:t>
            </w:r>
          </w:p>
        </w:tc>
        <w:tc>
          <w:tcPr>
            <w:tcBorders>
              <w:top w:val="single" w:sz="4"/>
              <w:left w:val="single" w:sz="4"/>
              <w:bottom w:val="single" w:sz="4"/>
              <w:right w:val="single" w:sz="4"/>
            </w:tcBorders>
            <w:shd w:val="clear" w:color="auto" w:fill="auto"/>
            <w:vAlign w:val="top"/>
          </w:tcPr>
          <w:p>
            <w:pPr>
              <w:pStyle w:val="Style20"/>
              <w:keepNext w:val="0"/>
              <w:keepLines w:val="0"/>
              <w:widowControl w:val="0"/>
              <w:shd w:val="clear" w:color="auto" w:fill="auto"/>
              <w:bidi w:val="0"/>
              <w:spacing w:line="262" w:lineRule="auto"/>
              <w:ind w:left="360" w:hanging="360"/>
              <w:jc w:val="left"/>
            </w:pPr>
            <w:r>
              <w:rPr>
                <w:rStyle w:val="CharStyle21"/>
                <w:rFonts w:ascii="Courier New" w:eastAsia="Courier New" w:hAnsi="Courier New" w:cs="Courier New"/>
                <w:b/>
                <w:bCs/>
              </w:rPr>
              <w:t xml:space="preserve">• </w:t>
            </w:r>
            <w:r>
              <w:rPr>
                <w:rStyle w:val="CharStyle21"/>
              </w:rPr>
              <w:t>Generally, Canada’s marketplaces offer different volume discount programs than exist in the U.S. which result in less frequent routing conflicts in Canada. As such, there is no change to the pre-trade fee transparency requirements at this time.</w:t>
            </w:r>
          </w:p>
        </w:tc>
      </w:tr>
    </w:tbl>
    <w:sectPr>
      <w:footnotePr>
        <w:pos w:val="pageBottom"/>
        <w:numFmt w:val="decimal"/>
        <w:numStart w:val="1"/>
        <w:numRestart w:val="continuous"/>
        <w15:footnoteColumns w:val="1"/>
      </w:footnotePr>
      <w:pgSz w:w="12240" w:h="15840"/>
      <w:pgMar w:top="1411" w:right="1151" w:bottom="1041" w:left="1422"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keepNext w:val="0"/>
        <w:keepLines w:val="0"/>
        <w:widowControl w:val="0"/>
        <w:shd w:val="clear" w:color="auto" w:fill="auto"/>
        <w:bidi w:val="0"/>
        <w:spacing w:line="240" w:lineRule="auto"/>
        <w:ind w:left="0" w:firstLine="0"/>
        <w:jc w:val="left"/>
      </w:pPr>
      <w:bookmarkStart w:id="0" w:name="bookmark0"/>
      <w:bookmarkStart w:id="1" w:name="bookmark1"/>
      <w:r>
        <w:rPr>
          <w:rStyle w:val="CharStyle3"/>
          <w:vertAlign w:val="superscript"/>
        </w:rPr>
        <w:footnoteRef/>
      </w:r>
      <w:r>
        <w:rPr>
          <w:rStyle w:val="CharStyle3"/>
        </w:rPr>
        <w:t xml:space="preserve"> An active trading fee refers to the fee applied for executing an order that was entered to execute against a displayed order on a particular marketplace.</w:t>
      </w:r>
      <w:bookmarkEnd w:id="0"/>
      <w:bookmarkEnd w:id="1"/>
    </w:p>
  </w:footnote>
  <w:footnote w:id="3">
    <w:p>
      <w:pPr>
        <w:pStyle w:val="Style2"/>
        <w:keepNext w:val="0"/>
        <w:keepLines w:val="0"/>
        <w:widowControl w:val="0"/>
        <w:shd w:val="clear" w:color="auto" w:fill="auto"/>
        <w:bidi w:val="0"/>
        <w:spacing w:line="240" w:lineRule="auto"/>
        <w:ind w:left="0" w:firstLine="0"/>
        <w:jc w:val="left"/>
      </w:pPr>
      <w:r>
        <w:rPr>
          <w:rStyle w:val="CharStyle3"/>
          <w:vertAlign w:val="superscript"/>
        </w:rPr>
        <w:footnoteRef/>
      </w:r>
      <w:r>
        <w:fldChar w:fldCharType="begin"/>
      </w:r>
      <w:r>
        <w:rPr/>
        <w:instrText> HYPERLINK "http://www.ciro.ca/newsroom/publications/amendments-respecting-trading-increments" </w:instrText>
      </w:r>
      <w:r>
        <w:fldChar w:fldCharType="separate"/>
      </w:r>
      <w:r>
        <w:rPr>
          <w:rStyle w:val="CharStyle3"/>
        </w:rPr>
        <w:t xml:space="preserve"> </w:t>
      </w:r>
      <w:r>
        <w:rPr>
          <w:rStyle w:val="CharStyle3"/>
          <w:color w:val="0000FF"/>
          <w:u w:val="single"/>
        </w:rPr>
        <w:t>www.ciro.ca/newsroom/publications/amendments-respecting-trading-increments</w:t>
      </w:r>
      <w:r>
        <w:fldChar w:fldCharType="end"/>
      </w:r>
    </w:p>
  </w:footnote>
  <w:footnote w:id="4">
    <w:p>
      <w:pPr>
        <w:pStyle w:val="Style2"/>
        <w:keepNext w:val="0"/>
        <w:keepLines w:val="0"/>
        <w:widowControl w:val="0"/>
        <w:shd w:val="clear" w:color="auto" w:fill="auto"/>
        <w:bidi w:val="0"/>
        <w:spacing w:line="240" w:lineRule="auto"/>
        <w:ind w:left="0" w:firstLine="0"/>
        <w:jc w:val="left"/>
      </w:pPr>
      <w:bookmarkStart w:id="2" w:name="bookmark2"/>
      <w:r>
        <w:rPr>
          <w:rStyle w:val="CharStyle3"/>
          <w:vertAlign w:val="superscript"/>
        </w:rPr>
        <w:footnoteRef/>
      </w:r>
      <w:r>
        <w:fldChar w:fldCharType="begin"/>
      </w:r>
      <w:r>
        <w:rPr/>
        <w:instrText> HYPERLINK "https://www.osc.ca/en/securities-law/instruments-rules-policies/2/23-101/csa-notice-and-request-comment-proposed-amendments-national-instrument-23-101-trading-rules-and" </w:instrText>
      </w:r>
      <w:r>
        <w:fldChar w:fldCharType="separate"/>
      </w:r>
      <w:r>
        <w:rPr>
          <w:rStyle w:val="CharStyle3"/>
        </w:rPr>
        <w:t xml:space="preserve"> </w:t>
      </w:r>
      <w:r>
        <w:rPr>
          <w:rStyle w:val="CharStyle3"/>
          <w:i/>
          <w:iCs/>
          <w:color w:val="0000FF"/>
          <w:u w:val="single"/>
        </w:rPr>
        <w:t>CSA Notice and Request for Comment — Proposed Amendments to National Instrument 23-101</w:t>
      </w:r>
      <w:r>
        <w:rPr>
          <w:rStyle w:val="CharStyle3"/>
          <w:color w:val="0000FF"/>
          <w:u w:val="single"/>
        </w:rPr>
        <w:t xml:space="preserve"> Trading Rules</w:t>
      </w:r>
      <w:r>
        <w:rPr>
          <w:rStyle w:val="CharStyle3"/>
          <w:color w:val="0000FF"/>
        </w:rPr>
        <w:t xml:space="preserve"> </w:t>
      </w:r>
      <w:r>
        <w:rPr>
          <w:rStyle w:val="CharStyle3"/>
        </w:rPr>
        <w:t xml:space="preserve">- </w:t>
      </w:r>
      <w:r>
        <w:fldChar w:fldCharType="end"/>
      </w:r>
      <w:r>
        <w:rPr>
          <w:rStyle w:val="CharStyle3"/>
        </w:rPr>
        <w:t>The CSA and CIRO had earlier published a request for feedback on the SEC Tick Size Rule and the SEC Trading Fee rule when they were first proposed by the SEC and published for comment:</w:t>
      </w:r>
      <w:r>
        <w:fldChar w:fldCharType="begin"/>
      </w:r>
      <w:r>
        <w:rPr/>
        <w:instrText> HYPERLINK "https://www.osc.ca/en/securities-law/instruments-rules-policies/2/23-331/csaciro-staff-notice-23-331-request-feedback-december-2022-sec-market-structure-proposals-and%23B_1_1_1_" </w:instrText>
      </w:r>
      <w:r>
        <w:fldChar w:fldCharType="separate"/>
      </w:r>
      <w:r>
        <w:rPr>
          <w:rStyle w:val="CharStyle3"/>
        </w:rPr>
        <w:t xml:space="preserve"> </w:t>
      </w:r>
      <w:r>
        <w:rPr>
          <w:rStyle w:val="CharStyle3"/>
          <w:i/>
          <w:iCs/>
          <w:color w:val="0000FF"/>
          <w:u w:val="single"/>
        </w:rPr>
        <w:t>Request for Feedback on December</w:t>
      </w:r>
      <w:r>
        <w:fldChar w:fldCharType="end"/>
      </w:r>
      <w:r>
        <w:rPr>
          <w:rStyle w:val="CharStyle3"/>
          <w:i/>
          <w:iCs/>
          <w:color w:val="0000FF"/>
          <w:u w:val="single"/>
        </w:rPr>
        <w:t xml:space="preserve"> </w:t>
      </w:r>
      <w:r>
        <w:fldChar w:fldCharType="begin"/>
      </w:r>
      <w:r>
        <w:rPr/>
        <w:instrText> HYPERLINK "https://www.osc.ca/en/securities-law/instruments-rules-policies/2/23-331/csaciro-staff-notice-23-331-request-feedback-december-2022-sec-market-structure-proposals-and%23B_1_1_1_" </w:instrText>
      </w:r>
      <w:r>
        <w:fldChar w:fldCharType="separate"/>
      </w:r>
      <w:r>
        <w:rPr>
          <w:rStyle w:val="CharStyle3"/>
          <w:i/>
          <w:iCs/>
          <w:color w:val="0000FF"/>
          <w:u w:val="single"/>
        </w:rPr>
        <w:t>2022 SEC Market Structure Proposals and Potential Impact on Canadian Capital Markets</w:t>
      </w:r>
      <w:r>
        <w:rPr>
          <w:rStyle w:val="CharStyle3"/>
          <w:color w:val="0000FF"/>
          <w:u w:val="single"/>
        </w:rPr>
        <w:t>, CSA and CIRO Staff</w:t>
      </w:r>
      <w:r>
        <w:fldChar w:fldCharType="end"/>
      </w:r>
      <w:r>
        <w:rPr>
          <w:rStyle w:val="CharStyle3"/>
          <w:color w:val="0000FF"/>
          <w:u w:val="single"/>
        </w:rPr>
        <w:t xml:space="preserve"> </w:t>
      </w:r>
      <w:r>
        <w:fldChar w:fldCharType="begin"/>
      </w:r>
      <w:r>
        <w:rPr/>
        <w:instrText> HYPERLINK "https://www.osc.ca/en/securities-law/instruments-rules-policies/2/23-331/csaciro-staff-notice-23-331-request-feedback-december-2022-sec-market-structure-proposals-and%23B_1_1_1_" </w:instrText>
      </w:r>
      <w:r>
        <w:fldChar w:fldCharType="separate"/>
      </w:r>
      <w:r>
        <w:rPr>
          <w:rStyle w:val="CharStyle3"/>
          <w:color w:val="0000FF"/>
          <w:u w:val="single"/>
        </w:rPr>
        <w:t>Notice 23-331 (19 October 2023).</w:t>
      </w:r>
      <w:bookmarkEnd w:id="2"/>
      <w:r>
        <w:fldChar w:fldCharType="end"/>
      </w:r>
    </w:p>
  </w:footnote>
  <w:footnote w:id="5">
    <w:p>
      <w:pPr>
        <w:pStyle w:val="Style2"/>
        <w:keepNext w:val="0"/>
        <w:keepLines w:val="0"/>
        <w:widowControl w:val="0"/>
        <w:shd w:val="clear" w:color="auto" w:fill="auto"/>
        <w:bidi w:val="0"/>
        <w:spacing w:line="257" w:lineRule="auto"/>
        <w:ind w:left="0" w:firstLine="0"/>
        <w:jc w:val="left"/>
        <w:rPr>
          <w:sz w:val="19"/>
          <w:szCs w:val="19"/>
        </w:rPr>
      </w:pPr>
      <w:bookmarkStart w:id="3" w:name="bookmark3"/>
      <w:r>
        <w:rPr>
          <w:rStyle w:val="CharStyle3"/>
          <w:rFonts w:ascii="Courier New" w:eastAsia="Courier New" w:hAnsi="Courier New" w:cs="Courier New"/>
          <w:sz w:val="19"/>
          <w:szCs w:val="19"/>
          <w:vertAlign w:val="superscript"/>
        </w:rPr>
        <w:footnoteRef/>
      </w:r>
      <w:r>
        <w:fldChar w:fldCharType="begin"/>
      </w:r>
      <w:r>
        <w:rPr/>
        <w:instrText> HYPERLINK "https://www.sec.gov/files/rules/exorders/2025/34-104172.pdf" </w:instrText>
      </w:r>
      <w:r>
        <w:fldChar w:fldCharType="separate"/>
      </w:r>
      <w:r>
        <w:rPr>
          <w:rStyle w:val="CharStyle3"/>
          <w:rFonts w:ascii="Courier New" w:eastAsia="Courier New" w:hAnsi="Courier New" w:cs="Courier New"/>
          <w:sz w:val="19"/>
          <w:szCs w:val="19"/>
        </w:rPr>
        <w:t xml:space="preserve"> </w:t>
      </w:r>
      <w:r>
        <w:rPr>
          <w:rStyle w:val="CharStyle3"/>
          <w:rFonts w:ascii="Courier New" w:eastAsia="Courier New" w:hAnsi="Courier New" w:cs="Courier New"/>
          <w:color w:val="0000FF"/>
          <w:sz w:val="19"/>
          <w:szCs w:val="19"/>
          <w:u w:val="single"/>
        </w:rPr>
        <w:t>https://www.sec.gov/files/rules/exorders/2025/34-104172.pdf</w:t>
      </w:r>
      <w:bookmarkEnd w:id="3"/>
      <w:r>
        <w:fldChar w:fldCharType="end"/>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bullet"/>
      <w:lvlText w:val="•"/>
      <w:rPr>
        <w:rFonts w:ascii="Courier New" w:eastAsia="Courier New" w:hAnsi="Courier New" w:cs="Courier New"/>
        <w:b/>
        <w:bCs/>
        <w:i w:val="0"/>
        <w:iCs w:val="0"/>
        <w:smallCaps w:val="0"/>
        <w:strike w:val="0"/>
        <w:color w:val="000000"/>
        <w:spacing w:val="0"/>
        <w:w w:val="100"/>
        <w:position w:val="0"/>
        <w:sz w:val="24"/>
        <w:szCs w:val="24"/>
        <w:u w:val="none"/>
        <w:shd w:val="clear" w:color="auto" w:fill="auto"/>
        <w:lang w:val="en-US" w:eastAsia="en-US"/>
      </w:rPr>
    </w:lvl>
  </w:abstractNum>
  <w:abstractNum w:abstractNumId="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abstractNum>
  <w:abstractNum w:abstractNumId="4">
    <w:multiLevelType w:val="multilevel"/>
    <w:lvl w:ilvl="0">
      <w:start w:val="1"/>
      <w:numFmt w:val="lowerLetter"/>
      <w:lvlText w:val="(%1)"/>
      <w:rPr>
        <w:rFonts w:ascii="Courier New" w:eastAsia="Courier New" w:hAnsi="Courier New" w:cs="Courier New"/>
        <w:b w:val="0"/>
        <w:bCs w:val="0"/>
        <w:i w:val="0"/>
        <w:iCs w:val="0"/>
        <w:smallCaps w:val="0"/>
        <w:strike w:val="0"/>
        <w:color w:val="000000"/>
        <w:spacing w:val="0"/>
        <w:w w:val="100"/>
        <w:position w:val="0"/>
        <w:sz w:val="19"/>
        <w:szCs w:val="19"/>
        <w:u w:val="none"/>
        <w:shd w:val="clear" w:color="auto" w:fill="auto"/>
        <w:lang w:val="en-US" w:eastAsia="en-US"/>
      </w:rPr>
    </w:lvl>
  </w:abstractNum>
  <w:abstractNum w:abstractNumId="6">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abstractNum>
  <w:abstractNum w:abstractNumId="8">
    <w:multiLevelType w:val="multilevel"/>
    <w:lvl w:ilvl="0">
      <w:start w:val="6"/>
      <w:numFmt w:val="decimal"/>
      <w:lvlText w:val="%1"/>
    </w:lvl>
    <w:lvl w:ilvl="1">
      <w:start w:val="6"/>
      <w:numFmt w:val="decimal"/>
      <w:lvlText w:val="%1.%2"/>
    </w:lvl>
    <w:lvl w:ilvl="2">
      <w:start w:val="1"/>
      <w:numFmt w:val="decimal"/>
      <w:lvlText w:val="%1.%2.%3"/>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abstractNum>
  <w:abstractNum w:abstractNumId="1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abstractNum>
  <w:abstractNum w:abstractNumId="12">
    <w:multiLevelType w:val="multilevel"/>
    <w:lvl w:ilvl="0">
      <w:start w:val="2"/>
      <w:numFmt w:val="decimal"/>
      <w:lvlText w:val="(%1)"/>
      <w:rPr>
        <w:rFonts w:ascii="Courier New" w:eastAsia="Courier New" w:hAnsi="Courier New" w:cs="Courier New"/>
        <w:b/>
        <w:bCs/>
        <w:i w:val="0"/>
        <w:iCs w:val="0"/>
        <w:smallCaps w:val="0"/>
        <w:strike w:val="0"/>
        <w:color w:val="000000"/>
        <w:spacing w:val="0"/>
        <w:w w:val="100"/>
        <w:position w:val="0"/>
        <w:sz w:val="24"/>
        <w:szCs w:val="24"/>
        <w:u w:val="none"/>
        <w:shd w:val="clear" w:color="auto" w:fill="auto"/>
        <w:lang w:val="en-US" w:eastAsia="en-US"/>
      </w:rPr>
    </w:lvl>
  </w:abstractNum>
  <w:abstractNum w:abstractNumId="1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4F81BD"/>
        <w:spacing w:val="0"/>
        <w:w w:val="100"/>
        <w:position w:val="0"/>
        <w:sz w:val="24"/>
        <w:szCs w:val="24"/>
        <w:u w:val="none"/>
        <w:shd w:val="clear" w:color="auto" w:fill="auto"/>
        <w:lang w:val="en-US" w:eastAsia="en-US"/>
      </w:rPr>
    </w:lvl>
  </w:abstractNum>
  <w:abstractNum w:abstractNumId="16">
    <w:multiLevelType w:val="multilevel"/>
    <w:lvl w:ilvl="0">
      <w:start w:val="11"/>
      <w:numFmt w:val="decimal"/>
      <w:lvlText w:val="%1."/>
      <w:rPr>
        <w:rFonts w:ascii="Times New Roman" w:eastAsia="Times New Roman" w:hAnsi="Times New Roman" w:cs="Times New Roman"/>
        <w:b w:val="0"/>
        <w:bCs w:val="0"/>
        <w:i w:val="0"/>
        <w:iCs w:val="0"/>
        <w:smallCaps w:val="0"/>
        <w:strike w:val="0"/>
        <w:color w:val="FF0000"/>
        <w:spacing w:val="0"/>
        <w:w w:val="100"/>
        <w:position w:val="0"/>
        <w:sz w:val="24"/>
        <w:szCs w:val="24"/>
        <w:u w:val="none"/>
        <w:shd w:val="clear" w:color="auto" w:fill="auto"/>
        <w:lang w:val="en-US" w:eastAsia="en-US"/>
      </w:rPr>
    </w:lvl>
  </w:abstractNum>
  <w:abstractNum w:abstractNumId="1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abstractNum>
  <w:abstractNum w:abstractNumId="20">
    <w:multiLevelType w:val="multilevel"/>
    <w:lvl w:ilvl="0">
      <w:start w:val="6"/>
      <w:numFmt w:val="decimal"/>
      <w:lvlText w:val="%1"/>
    </w:lvl>
    <w:lvl w:ilvl="1">
      <w:start w:val="4"/>
      <w:numFmt w:val="decimal"/>
      <w:lvlText w:val="%1.%2"/>
    </w:lvl>
    <w:lvl w:ilvl="2">
      <w:start w:val="1"/>
      <w:numFmt w:val="decimal"/>
      <w:lvlText w:val="%1.%2.%3"/>
      <w:rPr>
        <w:rFonts w:ascii="Times New Roman" w:eastAsia="Times New Roman" w:hAnsi="Times New Roman" w:cs="Times New Roman"/>
        <w:b/>
        <w:bCs/>
        <w:i w:val="0"/>
        <w:iCs w:val="0"/>
        <w:smallCaps w:val="0"/>
        <w:strike/>
        <w:color w:val="FF0000"/>
        <w:spacing w:val="0"/>
        <w:w w:val="100"/>
        <w:position w:val="0"/>
        <w:sz w:val="24"/>
        <w:szCs w:val="24"/>
        <w:u w:val="none"/>
        <w:shd w:val="clear" w:color="auto" w:fill="auto"/>
        <w:lang w:val="en-US" w:eastAsia="en-US"/>
      </w:rPr>
    </w:lvl>
  </w:abstractNum>
  <w:abstractNum w:abstractNumId="2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abstractNum>
  <w:abstractNum w:abstractNumId="24">
    <w:multiLevelType w:val="multilevel"/>
    <w:lvl w:ilvl="0">
      <w:start w:val="1"/>
      <w:numFmt w:val="lowerLetter"/>
      <w:lvlText w:val="%1)"/>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rPr>
    </w:lvl>
  </w:abstractNum>
  <w:abstractNum w:abstractNumId="26">
    <w:multiLevelType w:val="multilevel"/>
    <w:lvl w:ilvl="0">
      <w:start w:val="1"/>
      <w:numFmt w:val="lowerRoman"/>
      <w:lvlText w:val="%1)"/>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en-US" w:eastAsia="en-US"/>
      </w:rPr>
    </w:lvl>
  </w:abstractNum>
  <w:abstractNum w:abstractNumId="28">
    <w:multiLevelType w:val="multilevel"/>
    <w:lvl w:ilvl="0">
      <w:start w:val="1"/>
      <w:numFmt w:val="bullet"/>
      <w:lvlText w:val="•"/>
      <w:rPr>
        <w:rFonts w:ascii="Courier New" w:eastAsia="Courier New" w:hAnsi="Courier New" w:cs="Courier New"/>
        <w:b/>
        <w:bCs/>
        <w:i w:val="0"/>
        <w:iCs w:val="0"/>
        <w:smallCaps w:val="0"/>
        <w:strike w:val="0"/>
        <w:color w:val="000000"/>
        <w:spacing w:val="0"/>
        <w:w w:val="100"/>
        <w:position w:val="0"/>
        <w:sz w:val="24"/>
        <w:szCs w:val="24"/>
        <w:u w:val="none"/>
        <w:shd w:val="clear" w:color="auto" w:fill="auto"/>
        <w:lang w:val="en-US" w:eastAsia="en-US"/>
      </w:rPr>
    </w:lvl>
  </w:abstractNum>
  <w:abstractNum w:abstractNumId="30">
    <w:multiLevelType w:val="multilevel"/>
    <w:lvl w:ilvl="0">
      <w:start w:val="1"/>
      <w:numFmt w:val="bullet"/>
      <w:lvlText w:val="•"/>
      <w:rPr>
        <w:rFonts w:ascii="Courier New" w:eastAsia="Courier New" w:hAnsi="Courier New" w:cs="Courier New"/>
        <w:b/>
        <w:bCs/>
        <w:i w:val="0"/>
        <w:iCs w:val="0"/>
        <w:smallCaps w:val="0"/>
        <w:strike w:val="0"/>
        <w:color w:val="000000"/>
        <w:spacing w:val="0"/>
        <w:w w:val="100"/>
        <w:position w:val="0"/>
        <w:sz w:val="24"/>
        <w:szCs w:val="24"/>
        <w:u w:val="none"/>
        <w:shd w:val="clear" w:color="auto" w:fill="auto"/>
        <w:lang w:val="en-US" w:eastAsia="en-US"/>
      </w:rPr>
    </w:lvl>
  </w:abstractNum>
  <w:abstractNum w:abstractNumId="32">
    <w:multiLevelType w:val="multilevel"/>
    <w:lvl w:ilvl="0">
      <w:start w:val="1"/>
      <w:numFmt w:val="bullet"/>
      <w:lvlText w:val="•"/>
      <w:rPr>
        <w:rFonts w:ascii="Courier New" w:eastAsia="Courier New" w:hAnsi="Courier New" w:cs="Courier New"/>
        <w:b/>
        <w:bCs/>
        <w:i w:val="0"/>
        <w:iCs w:val="0"/>
        <w:smallCaps w:val="0"/>
        <w:strike w:val="0"/>
        <w:color w:val="000000"/>
        <w:spacing w:val="0"/>
        <w:w w:val="100"/>
        <w:position w:val="0"/>
        <w:sz w:val="24"/>
        <w:szCs w:val="24"/>
        <w:u w:val="none"/>
        <w:shd w:val="clear" w:color="auto" w:fill="auto"/>
        <w:lang w:val="en-US" w:eastAsia="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rPr>
  </w:style>
  <w:style w:type="character" w:customStyle="1" w:styleId="CharStyle3">
    <w:name w:val="Footnote_"/>
    <w:basedOn w:val="DefaultParagraphFont"/>
    <w:link w:val="Style2"/>
    <w:rPr>
      <w:b w:val="0"/>
      <w:bCs w:val="0"/>
      <w:i w:val="0"/>
      <w:iCs w:val="0"/>
      <w:smallCaps w:val="0"/>
      <w:strike w:val="0"/>
      <w:sz w:val="20"/>
      <w:szCs w:val="20"/>
      <w:u w:val="none"/>
    </w:rPr>
  </w:style>
  <w:style w:type="character" w:customStyle="1" w:styleId="CharStyle10">
    <w:name w:val="Body text (2)_"/>
    <w:basedOn w:val="DefaultParagraphFont"/>
    <w:link w:val="Style9"/>
    <w:rPr>
      <w:b/>
      <w:bCs/>
      <w:i w:val="0"/>
      <w:iCs w:val="0"/>
      <w:smallCaps w:val="0"/>
      <w:strike w:val="0"/>
      <w:color w:val="BEAF87"/>
      <w:sz w:val="32"/>
      <w:szCs w:val="32"/>
      <w:u w:val="none"/>
    </w:rPr>
  </w:style>
  <w:style w:type="character" w:customStyle="1" w:styleId="CharStyle13">
    <w:name w:val="Body text_"/>
    <w:basedOn w:val="DefaultParagraphFont"/>
    <w:link w:val="Style12"/>
    <w:rPr>
      <w:b w:val="0"/>
      <w:bCs w:val="0"/>
      <w:i w:val="0"/>
      <w:iCs w:val="0"/>
      <w:smallCaps w:val="0"/>
      <w:strike w:val="0"/>
      <w:u w:val="none"/>
    </w:rPr>
  </w:style>
  <w:style w:type="character" w:customStyle="1" w:styleId="CharStyle21">
    <w:name w:val="Other_"/>
    <w:basedOn w:val="DefaultParagraphFont"/>
    <w:link w:val="Style20"/>
    <w:rPr>
      <w:b w:val="0"/>
      <w:bCs w:val="0"/>
      <w:i w:val="0"/>
      <w:iCs w:val="0"/>
      <w:smallCaps w:val="0"/>
      <w:strike w:val="0"/>
      <w:u w:val="none"/>
    </w:rPr>
  </w:style>
  <w:style w:type="character" w:customStyle="1" w:styleId="CharStyle26">
    <w:name w:val="Heading #1_"/>
    <w:basedOn w:val="DefaultParagraphFont"/>
    <w:link w:val="Style25"/>
    <w:rPr>
      <w:b/>
      <w:bCs/>
      <w:i w:val="0"/>
      <w:iCs w:val="0"/>
      <w:smallCaps w:val="0"/>
      <w:strike w:val="0"/>
      <w:u w:val="none"/>
    </w:rPr>
  </w:style>
  <w:style w:type="character" w:customStyle="1" w:styleId="CharStyle37">
    <w:name w:val="Table caption_"/>
    <w:basedOn w:val="DefaultParagraphFont"/>
    <w:link w:val="Style36"/>
    <w:rPr>
      <w:b w:val="0"/>
      <w:bCs w:val="0"/>
      <w:i w:val="0"/>
      <w:iCs w:val="0"/>
      <w:smallCaps w:val="0"/>
      <w:strike w:val="0"/>
      <w:sz w:val="20"/>
      <w:szCs w:val="20"/>
      <w:u w:val="none"/>
    </w:rPr>
  </w:style>
  <w:style w:type="paragraph" w:customStyle="1" w:styleId="Style2">
    <w:name w:val="Footnote"/>
    <w:basedOn w:val="Normal"/>
    <w:link w:val="CharStyle3"/>
    <w:pPr>
      <w:widowControl w:val="0"/>
      <w:shd w:val="clear" w:color="auto" w:fill="auto"/>
    </w:pPr>
    <w:rPr>
      <w:b w:val="0"/>
      <w:bCs w:val="0"/>
      <w:i w:val="0"/>
      <w:iCs w:val="0"/>
      <w:smallCaps w:val="0"/>
      <w:strike w:val="0"/>
      <w:sz w:val="20"/>
      <w:szCs w:val="20"/>
      <w:u w:val="none"/>
    </w:rPr>
  </w:style>
  <w:style w:type="paragraph" w:customStyle="1" w:styleId="Style9">
    <w:name w:val="Body text (2)"/>
    <w:basedOn w:val="Normal"/>
    <w:link w:val="CharStyle10"/>
    <w:pPr>
      <w:widowControl w:val="0"/>
      <w:shd w:val="clear" w:color="auto" w:fill="auto"/>
      <w:jc w:val="center"/>
    </w:pPr>
    <w:rPr>
      <w:b/>
      <w:bCs/>
      <w:i w:val="0"/>
      <w:iCs w:val="0"/>
      <w:smallCaps w:val="0"/>
      <w:strike w:val="0"/>
      <w:color w:val="BEAF87"/>
      <w:sz w:val="32"/>
      <w:szCs w:val="32"/>
      <w:u w:val="none"/>
    </w:rPr>
  </w:style>
  <w:style w:type="paragraph" w:styleId="Style12">
    <w:name w:val="Body text"/>
    <w:basedOn w:val="Normal"/>
    <w:link w:val="CharStyle13"/>
    <w:qFormat/>
    <w:pPr>
      <w:widowControl w:val="0"/>
      <w:shd w:val="clear" w:color="auto" w:fill="auto"/>
    </w:pPr>
    <w:rPr>
      <w:b w:val="0"/>
      <w:bCs w:val="0"/>
      <w:i w:val="0"/>
      <w:iCs w:val="0"/>
      <w:smallCaps w:val="0"/>
      <w:strike w:val="0"/>
      <w:u w:val="none"/>
    </w:rPr>
  </w:style>
  <w:style w:type="paragraph" w:customStyle="1" w:styleId="Style20">
    <w:name w:val="Other"/>
    <w:basedOn w:val="Normal"/>
    <w:link w:val="CharStyle21"/>
    <w:pPr>
      <w:widowControl w:val="0"/>
      <w:shd w:val="clear" w:color="auto" w:fill="auto"/>
    </w:pPr>
    <w:rPr>
      <w:b w:val="0"/>
      <w:bCs w:val="0"/>
      <w:i w:val="0"/>
      <w:iCs w:val="0"/>
      <w:smallCaps w:val="0"/>
      <w:strike w:val="0"/>
      <w:u w:val="none"/>
    </w:rPr>
  </w:style>
  <w:style w:type="paragraph" w:customStyle="1" w:styleId="Style25">
    <w:name w:val="Heading #1"/>
    <w:basedOn w:val="Normal"/>
    <w:link w:val="CharStyle26"/>
    <w:pPr>
      <w:widowControl w:val="0"/>
      <w:shd w:val="clear" w:color="auto" w:fill="auto"/>
      <w:jc w:val="center"/>
      <w:outlineLvl w:val="0"/>
    </w:pPr>
    <w:rPr>
      <w:b/>
      <w:bCs/>
      <w:i w:val="0"/>
      <w:iCs w:val="0"/>
      <w:smallCaps w:val="0"/>
      <w:strike w:val="0"/>
      <w:u w:val="none"/>
    </w:rPr>
  </w:style>
  <w:style w:type="paragraph" w:customStyle="1" w:styleId="Style36">
    <w:name w:val="Table caption"/>
    <w:basedOn w:val="Normal"/>
    <w:link w:val="CharStyle37"/>
    <w:pPr>
      <w:widowControl w:val="0"/>
      <w:shd w:val="clear" w:color="auto" w:fill="auto"/>
    </w:pPr>
    <w:rPr>
      <w:b w:val="0"/>
      <w:bCs w:val="0"/>
      <w:i w:val="0"/>
      <w:iCs w:val="0"/>
      <w:smallCaps w:val="0"/>
      <w:strike w:val="0"/>
      <w:sz w:val="20"/>
      <w:szCs w:val="20"/>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s>
</file>