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val="0"/>
        <w:keepLines w:val="0"/>
        <w:widowControl w:val="0"/>
        <w:shd w:val="clear" w:color="auto" w:fill="auto"/>
        <w:bidi w:val="0"/>
        <w:spacing w:line="240" w:lineRule="auto"/>
        <w:ind w:left="0" w:firstLine="0"/>
        <w:jc w:val="left"/>
      </w:pPr>
      <w:r>
        <w:rPr>
          <w:rStyle w:val="CharStyle3"/>
          <w:b/>
          <w:bCs/>
        </w:rPr>
        <w:t>ALBERTA SECURITIES COMMISSION</w:t>
      </w:r>
    </w:p>
    <w:p>
      <w:pPr>
        <w:pStyle w:val="Style2"/>
        <w:keepNext w:val="0"/>
        <w:keepLines w:val="0"/>
        <w:widowControl w:val="0"/>
        <w:shd w:val="clear" w:color="auto" w:fill="auto"/>
        <w:bidi w:val="0"/>
        <w:spacing w:line="240" w:lineRule="auto"/>
        <w:ind w:left="0" w:firstLine="0"/>
        <w:jc w:val="left"/>
      </w:pPr>
      <w:r>
        <w:rPr>
          <w:rStyle w:val="CharStyle3"/>
          <w:b/>
          <w:bCs/>
        </w:rPr>
        <w:t>COORDINATED BLANKET ORDER 33-930</w:t>
      </w:r>
    </w:p>
    <w:p>
      <w:pPr>
        <w:pStyle w:val="Style2"/>
        <w:keepNext w:val="0"/>
        <w:keepLines w:val="0"/>
        <w:widowControl w:val="0"/>
        <w:shd w:val="clear" w:color="auto" w:fill="auto"/>
        <w:bidi w:val="0"/>
        <w:spacing w:line="240" w:lineRule="auto"/>
        <w:ind w:left="0" w:firstLine="0"/>
        <w:jc w:val="left"/>
      </w:pPr>
      <w:r>
        <w:rPr>
          <w:rStyle w:val="CharStyle3"/>
          <w:b/>
          <w:bCs/>
        </w:rPr>
        <w:t>Citation: Re Exemptions from Requirements to Submit Certain Personal Information Under National Instrument 33-109 Registration Information, 2026 ABASC 54</w:t>
      </w:r>
    </w:p>
    <w:p>
      <w:pPr>
        <w:pStyle w:val="Style2"/>
        <w:keepNext w:val="0"/>
        <w:keepLines w:val="0"/>
        <w:widowControl w:val="0"/>
        <w:shd w:val="clear" w:color="auto" w:fill="auto"/>
        <w:bidi w:val="0"/>
        <w:spacing w:line="240" w:lineRule="auto"/>
        <w:ind w:left="0" w:firstLine="0"/>
        <w:jc w:val="left"/>
      </w:pPr>
      <w:r>
        <w:rPr>
          <w:rStyle w:val="CharStyle3"/>
          <w:b/>
          <w:bCs/>
        </w:rPr>
        <w:t>Date: 20260430</w:t>
      </w:r>
    </w:p>
    <w:p>
      <w:pPr>
        <w:pStyle w:val="Style7"/>
        <w:keepNext/>
        <w:keepLines/>
        <w:widowControl w:val="0"/>
        <w:shd w:val="clear" w:color="auto" w:fill="auto"/>
        <w:bidi w:val="0"/>
        <w:spacing w:line="240" w:lineRule="auto"/>
        <w:ind w:left="0" w:firstLine="0"/>
        <w:jc w:val="left"/>
      </w:pPr>
      <w:bookmarkStart w:id="0" w:name="bookmark0"/>
      <w:r>
        <w:rPr>
          <w:rStyle w:val="CharStyle8"/>
          <w:b/>
          <w:bCs/>
        </w:rPr>
        <w:t>Definitions</w:t>
      </w:r>
      <w:bookmarkEnd w:id="0"/>
    </w:p>
    <w:p>
      <w:pPr>
        <w:pStyle w:val="Style2"/>
        <w:keepNext w:val="0"/>
        <w:keepLines w:val="0"/>
        <w:widowControl w:val="0"/>
        <w:numPr>
          <w:ilvl w:val="0"/>
          <w:numId w:val="1"/>
        </w:numPr>
        <w:shd w:val="clear" w:color="auto" w:fill="auto"/>
        <w:tabs>
          <w:tab w:pos="701" w:val="left"/>
        </w:tabs>
        <w:bidi w:val="0"/>
        <w:spacing w:line="240" w:lineRule="auto"/>
        <w:ind w:left="360" w:hanging="360"/>
        <w:jc w:val="left"/>
      </w:pPr>
      <w:r>
        <w:rPr>
          <w:rStyle w:val="CharStyle3"/>
        </w:rPr>
        <w:t xml:space="preserve">Terms defined in the </w:t>
      </w:r>
      <w:r>
        <w:rPr>
          <w:rStyle w:val="CharStyle3"/>
          <w:i/>
          <w:iCs/>
        </w:rPr>
        <w:t>Securities Act</w:t>
      </w:r>
      <w:r>
        <w:rPr>
          <w:rStyle w:val="CharStyle3"/>
        </w:rPr>
        <w:t xml:space="preserve"> (Alberta) (the </w:t>
      </w:r>
      <w:r>
        <w:rPr>
          <w:rStyle w:val="CharStyle3"/>
          <w:b/>
          <w:bCs/>
        </w:rPr>
        <w:t>Act</w:t>
      </w:r>
      <w:r>
        <w:rPr>
          <w:rStyle w:val="CharStyle3"/>
        </w:rPr>
        <w:t xml:space="preserve">) and National Instrument 33-109 </w:t>
      </w:r>
      <w:r>
        <w:rPr>
          <w:rStyle w:val="CharStyle3"/>
          <w:i/>
          <w:iCs/>
        </w:rPr>
        <w:t>Registration Information</w:t>
      </w:r>
      <w:r>
        <w:rPr>
          <w:rStyle w:val="CharStyle3"/>
        </w:rPr>
        <w:t xml:space="preserve"> (</w:t>
      </w:r>
      <w:r>
        <w:rPr>
          <w:rStyle w:val="CharStyle3"/>
          <w:b/>
          <w:bCs/>
        </w:rPr>
        <w:t xml:space="preserve">NI 33-109 </w:t>
      </w:r>
      <w:r>
        <w:rPr>
          <w:rStyle w:val="CharStyle3"/>
        </w:rPr>
        <w:t xml:space="preserve">or </w:t>
      </w:r>
      <w:r>
        <w:rPr>
          <w:rStyle w:val="CharStyle3"/>
          <w:b/>
          <w:bCs/>
        </w:rPr>
        <w:t>the Instrument</w:t>
      </w:r>
      <w:r>
        <w:rPr>
          <w:rStyle w:val="CharStyle3"/>
        </w:rPr>
        <w:t>) have the same meaning if used in this Order.</w:t>
      </w:r>
    </w:p>
    <w:p>
      <w:pPr>
        <w:pStyle w:val="Style7"/>
        <w:keepNext/>
        <w:keepLines/>
        <w:widowControl w:val="0"/>
        <w:shd w:val="clear" w:color="auto" w:fill="auto"/>
        <w:bidi w:val="0"/>
        <w:spacing w:line="240" w:lineRule="auto"/>
        <w:ind w:left="0" w:firstLine="0"/>
        <w:jc w:val="left"/>
      </w:pPr>
      <w:bookmarkStart w:id="2" w:name="bookmark2"/>
      <w:r>
        <w:rPr>
          <w:rStyle w:val="CharStyle8"/>
          <w:b/>
          <w:bCs/>
        </w:rPr>
        <w:t>Background</w:t>
      </w:r>
      <w:bookmarkEnd w:id="2"/>
    </w:p>
    <w:p>
      <w:pPr>
        <w:pStyle w:val="Style2"/>
        <w:keepNext w:val="0"/>
        <w:keepLines w:val="0"/>
        <w:widowControl w:val="0"/>
        <w:numPr>
          <w:ilvl w:val="0"/>
          <w:numId w:val="1"/>
        </w:numPr>
        <w:shd w:val="clear" w:color="auto" w:fill="auto"/>
        <w:tabs>
          <w:tab w:pos="701" w:val="left"/>
        </w:tabs>
        <w:bidi w:val="0"/>
        <w:spacing w:line="240" w:lineRule="auto"/>
        <w:ind w:left="360" w:hanging="360"/>
        <w:jc w:val="left"/>
      </w:pPr>
      <w:r>
        <w:rPr>
          <w:rStyle w:val="CharStyle3"/>
        </w:rPr>
        <w:t xml:space="preserve">Information submitted by firms and individuals under NI 33-109 is used by the Alberta Securities Commission (the </w:t>
      </w:r>
      <w:r>
        <w:rPr>
          <w:rStyle w:val="CharStyle3"/>
          <w:b/>
          <w:bCs/>
        </w:rPr>
        <w:t>Commission</w:t>
      </w:r>
      <w:r>
        <w:rPr>
          <w:rStyle w:val="CharStyle3"/>
        </w:rPr>
        <w:t xml:space="preserve">) and other members of the Canadian Securities Administrators (the </w:t>
      </w:r>
      <w:r>
        <w:rPr>
          <w:rStyle w:val="CharStyle3"/>
          <w:b/>
          <w:bCs/>
        </w:rPr>
        <w:t>CSA</w:t>
      </w:r>
      <w:r>
        <w:rPr>
          <w:rStyle w:val="CharStyle3"/>
        </w:rPr>
        <w:t>) to assess a filer's fitness for registration in relation to their solvency, integrity, and proficiency or whether information gives rise to concerns with a filer's permitted individual status.</w:t>
      </w:r>
    </w:p>
    <w:p>
      <w:pPr>
        <w:pStyle w:val="Style2"/>
        <w:keepNext w:val="0"/>
        <w:keepLines w:val="0"/>
        <w:widowControl w:val="0"/>
        <w:numPr>
          <w:ilvl w:val="0"/>
          <w:numId w:val="1"/>
        </w:numPr>
        <w:shd w:val="clear" w:color="auto" w:fill="auto"/>
        <w:tabs>
          <w:tab w:pos="701" w:val="left"/>
        </w:tabs>
        <w:bidi w:val="0"/>
        <w:spacing w:line="240" w:lineRule="auto"/>
        <w:ind w:left="360" w:hanging="360"/>
        <w:jc w:val="left"/>
      </w:pPr>
      <w:r>
        <w:rPr>
          <w:rStyle w:val="CharStyle3"/>
        </w:rPr>
        <w:t>Information submitted by individuals under NI 33-109 includes (i) eye colour, hair colour, height, and weight information, and (ii) citizenship information (including, in some circumstances, passport information).</w:t>
      </w:r>
    </w:p>
    <w:p>
      <w:pPr>
        <w:pStyle w:val="Style2"/>
        <w:keepNext w:val="0"/>
        <w:keepLines w:val="0"/>
        <w:widowControl w:val="0"/>
        <w:numPr>
          <w:ilvl w:val="0"/>
          <w:numId w:val="1"/>
        </w:numPr>
        <w:shd w:val="clear" w:color="auto" w:fill="auto"/>
        <w:tabs>
          <w:tab w:pos="701" w:val="left"/>
        </w:tabs>
        <w:bidi w:val="0"/>
        <w:spacing w:line="240" w:lineRule="auto"/>
        <w:ind w:left="360" w:hanging="360"/>
        <w:jc w:val="left"/>
      </w:pPr>
      <w:r>
        <w:rPr>
          <w:rStyle w:val="CharStyle3"/>
        </w:rPr>
        <w:t>The CSA intends to amend NI 33-109 to remove the requirements to submit this information under the Instrument based on the CSA's determination that (i) eye colour, hair colour, height, and weight information is not required to identify an individual or otherwise determine their fitness for registration or permitted individual status, and (ii) while citizenship information is sometimes used to confirm the identity of an individual as part of the registration process, this information, when needed, can be collected outside of the requirements in NI 33-109.</w:t>
      </w:r>
    </w:p>
    <w:p>
      <w:pPr>
        <w:pStyle w:val="Style2"/>
        <w:keepNext w:val="0"/>
        <w:keepLines w:val="0"/>
        <w:widowControl w:val="0"/>
        <w:numPr>
          <w:ilvl w:val="0"/>
          <w:numId w:val="1"/>
        </w:numPr>
        <w:shd w:val="clear" w:color="auto" w:fill="auto"/>
        <w:tabs>
          <w:tab w:pos="701" w:val="left"/>
        </w:tabs>
        <w:bidi w:val="0"/>
        <w:spacing w:line="240" w:lineRule="auto"/>
        <w:ind w:left="360" w:hanging="360"/>
        <w:jc w:val="left"/>
      </w:pPr>
      <w:r>
        <w:rPr>
          <w:rStyle w:val="CharStyle3"/>
        </w:rPr>
        <w:t>It is expected that amendments will be made to remove the requirements to submit this information under NI 33-109 when the Instrument is next amended.</w:t>
      </w:r>
    </w:p>
    <w:p>
      <w:pPr>
        <w:pStyle w:val="Style2"/>
        <w:keepNext w:val="0"/>
        <w:keepLines w:val="0"/>
        <w:widowControl w:val="0"/>
        <w:numPr>
          <w:ilvl w:val="0"/>
          <w:numId w:val="1"/>
        </w:numPr>
        <w:shd w:val="clear" w:color="auto" w:fill="auto"/>
        <w:tabs>
          <w:tab w:pos="701" w:val="left"/>
        </w:tabs>
        <w:bidi w:val="0"/>
        <w:spacing w:line="240" w:lineRule="auto"/>
        <w:ind w:left="360" w:hanging="360"/>
        <w:jc w:val="left"/>
      </w:pPr>
      <w:r>
        <w:rPr>
          <w:rStyle w:val="CharStyle3"/>
        </w:rPr>
        <w:t>The purpose of this Order is to exempt individuals from the requirements to submit this information under NI 33-109 as an interim measure until NI 33-109 is amended.</w:t>
      </w:r>
    </w:p>
    <w:p>
      <w:pPr>
        <w:pStyle w:val="Style7"/>
        <w:keepNext/>
        <w:keepLines/>
        <w:widowControl w:val="0"/>
        <w:shd w:val="clear" w:color="auto" w:fill="auto"/>
        <w:bidi w:val="0"/>
        <w:spacing w:line="240" w:lineRule="auto"/>
        <w:ind w:left="0" w:firstLine="0"/>
        <w:jc w:val="left"/>
      </w:pPr>
      <w:bookmarkStart w:id="4" w:name="bookmark4"/>
      <w:r>
        <w:rPr>
          <w:rStyle w:val="CharStyle8"/>
          <w:b/>
          <w:bCs/>
        </w:rPr>
        <w:t>Order</w:t>
      </w:r>
      <w:bookmarkEnd w:id="4"/>
    </w:p>
    <w:p>
      <w:pPr>
        <w:pStyle w:val="Style2"/>
        <w:keepNext w:val="0"/>
        <w:keepLines w:val="0"/>
        <w:widowControl w:val="0"/>
        <w:numPr>
          <w:ilvl w:val="0"/>
          <w:numId w:val="1"/>
        </w:numPr>
        <w:shd w:val="clear" w:color="auto" w:fill="auto"/>
        <w:tabs>
          <w:tab w:pos="701" w:val="left"/>
        </w:tabs>
        <w:bidi w:val="0"/>
        <w:spacing w:line="240" w:lineRule="auto"/>
        <w:ind w:left="360" w:hanging="360"/>
        <w:jc w:val="left"/>
      </w:pPr>
      <w:r>
        <w:rPr>
          <w:rStyle w:val="CharStyle3"/>
        </w:rPr>
        <w:t>The Commission, considering that to do so would not be prejudicial to the public interest, orders under section 213 of the Act that</w:t>
      </w:r>
    </w:p>
    <w:p>
      <w:pPr>
        <w:pStyle w:val="Style2"/>
        <w:keepNext w:val="0"/>
        <w:keepLines w:val="0"/>
        <w:widowControl w:val="0"/>
        <w:numPr>
          <w:ilvl w:val="0"/>
          <w:numId w:val="3"/>
        </w:numPr>
        <w:shd w:val="clear" w:color="auto" w:fill="auto"/>
        <w:tabs>
          <w:tab w:pos="1460" w:val="left"/>
        </w:tabs>
        <w:bidi w:val="0"/>
        <w:spacing w:line="240" w:lineRule="auto"/>
        <w:ind w:left="360" w:hanging="360"/>
        <w:jc w:val="left"/>
      </w:pPr>
      <w:r>
        <w:rPr>
          <w:rStyle w:val="CharStyle3"/>
        </w:rPr>
        <w:t>an individual required to submit a completed Form 33-109F4 under NI 33-109 is exempt from the requirement to submit information in any the following items in Form 33-109F4:</w:t>
      </w:r>
    </w:p>
    <w:p>
      <w:pPr>
        <w:pStyle w:val="Style2"/>
        <w:keepNext w:val="0"/>
        <w:keepLines w:val="0"/>
        <w:widowControl w:val="0"/>
        <w:shd w:val="clear" w:color="auto" w:fill="auto"/>
        <w:bidi w:val="0"/>
        <w:spacing w:line="240" w:lineRule="auto"/>
        <w:ind w:left="0" w:firstLine="0"/>
        <w:jc w:val="left"/>
      </w:pPr>
      <w:r>
        <w:rPr>
          <w:rStyle w:val="CharStyle3"/>
        </w:rPr>
        <w:t>-2-</w:t>
      </w:r>
    </w:p>
    <w:p>
      <w:pPr>
        <w:pStyle w:val="Style2"/>
        <w:keepNext w:val="0"/>
        <w:keepLines w:val="0"/>
        <w:widowControl w:val="0"/>
        <w:numPr>
          <w:ilvl w:val="0"/>
          <w:numId w:val="5"/>
        </w:numPr>
        <w:shd w:val="clear" w:color="auto" w:fill="auto"/>
        <w:tabs>
          <w:tab w:pos="4321" w:val="right"/>
        </w:tabs>
        <w:bidi w:val="0"/>
        <w:spacing w:line="240" w:lineRule="auto"/>
        <w:ind w:left="0" w:firstLine="0"/>
        <w:jc w:val="left"/>
      </w:pPr>
      <w:r>
        <w:rPr>
          <w:rStyle w:val="CharStyle3"/>
        </w:rPr>
        <w:t>item 3.4 [</w:t>
      </w:r>
      <w:r>
        <w:rPr>
          <w:rStyle w:val="CharStyle3"/>
          <w:i/>
          <w:iCs/>
        </w:rPr>
        <w:t>Eye colour</w:t>
      </w:r>
      <w:r>
        <w:rPr>
          <w:rStyle w:val="CharStyle3"/>
        </w:rPr>
        <w:t>];</w:t>
      </w:r>
    </w:p>
    <w:p>
      <w:pPr>
        <w:pStyle w:val="Style2"/>
        <w:keepNext w:val="0"/>
        <w:keepLines w:val="0"/>
        <w:widowControl w:val="0"/>
        <w:numPr>
          <w:ilvl w:val="0"/>
          <w:numId w:val="5"/>
        </w:numPr>
        <w:shd w:val="clear" w:color="auto" w:fill="auto"/>
        <w:tabs>
          <w:tab w:pos="4321" w:val="right"/>
        </w:tabs>
        <w:bidi w:val="0"/>
        <w:spacing w:line="240" w:lineRule="auto"/>
        <w:ind w:left="0" w:firstLine="0"/>
        <w:jc w:val="left"/>
      </w:pPr>
      <w:r>
        <w:rPr>
          <w:rStyle w:val="CharStyle3"/>
        </w:rPr>
        <w:t>item 3.5 [</w:t>
      </w:r>
      <w:r>
        <w:rPr>
          <w:rStyle w:val="CharStyle3"/>
          <w:i/>
          <w:iCs/>
        </w:rPr>
        <w:t>Hair colour</w:t>
      </w:r>
      <w:r>
        <w:rPr>
          <w:rStyle w:val="CharStyle3"/>
        </w:rPr>
        <w:t>];</w:t>
      </w:r>
    </w:p>
    <w:p>
      <w:pPr>
        <w:pStyle w:val="Style2"/>
        <w:keepNext w:val="0"/>
        <w:keepLines w:val="0"/>
        <w:widowControl w:val="0"/>
        <w:numPr>
          <w:ilvl w:val="0"/>
          <w:numId w:val="5"/>
        </w:numPr>
        <w:shd w:val="clear" w:color="auto" w:fill="auto"/>
        <w:tabs>
          <w:tab w:pos="3894" w:val="right"/>
        </w:tabs>
        <w:bidi w:val="0"/>
        <w:spacing w:line="240" w:lineRule="auto"/>
        <w:ind w:left="0" w:firstLine="0"/>
        <w:jc w:val="left"/>
      </w:pPr>
      <w:r>
        <w:rPr>
          <w:rStyle w:val="CharStyle3"/>
        </w:rPr>
        <w:t>item 3.6 [</w:t>
      </w:r>
      <w:r>
        <w:rPr>
          <w:rStyle w:val="CharStyle3"/>
          <w:i/>
          <w:iCs/>
        </w:rPr>
        <w:t>Height</w:t>
      </w:r>
      <w:r>
        <w:rPr>
          <w:rStyle w:val="CharStyle3"/>
        </w:rPr>
        <w:t>];</w:t>
      </w:r>
    </w:p>
    <w:p>
      <w:pPr>
        <w:pStyle w:val="Style2"/>
        <w:keepNext w:val="0"/>
        <w:keepLines w:val="0"/>
        <w:widowControl w:val="0"/>
        <w:numPr>
          <w:ilvl w:val="0"/>
          <w:numId w:val="5"/>
        </w:numPr>
        <w:shd w:val="clear" w:color="auto" w:fill="auto"/>
        <w:tabs>
          <w:tab w:pos="3894" w:val="right"/>
        </w:tabs>
        <w:bidi w:val="0"/>
        <w:spacing w:line="240" w:lineRule="auto"/>
        <w:ind w:left="0" w:firstLine="0"/>
        <w:jc w:val="left"/>
      </w:pPr>
      <w:r>
        <w:rPr>
          <w:rStyle w:val="CharStyle3"/>
        </w:rPr>
        <w:t>item 3.7 [</w:t>
      </w:r>
      <w:r>
        <w:rPr>
          <w:rStyle w:val="CharStyle3"/>
          <w:i/>
          <w:iCs/>
        </w:rPr>
        <w:t>Weight</w:t>
      </w:r>
      <w:r>
        <w:rPr>
          <w:rStyle w:val="CharStyle3"/>
        </w:rPr>
        <w:t>];</w:t>
      </w:r>
    </w:p>
    <w:p>
      <w:pPr>
        <w:pStyle w:val="Style2"/>
        <w:keepNext w:val="0"/>
        <w:keepLines w:val="0"/>
        <w:widowControl w:val="0"/>
        <w:numPr>
          <w:ilvl w:val="0"/>
          <w:numId w:val="5"/>
        </w:numPr>
        <w:shd w:val="clear" w:color="auto" w:fill="auto"/>
        <w:tabs>
          <w:tab w:pos="2175" w:val="left"/>
        </w:tabs>
        <w:bidi w:val="0"/>
        <w:spacing w:line="240" w:lineRule="auto"/>
        <w:ind w:left="0" w:firstLine="0"/>
        <w:jc w:val="left"/>
      </w:pPr>
      <w:r>
        <w:rPr>
          <w:rStyle w:val="CharStyle3"/>
        </w:rPr>
        <w:t>item 4 [</w:t>
      </w:r>
      <w:r>
        <w:rPr>
          <w:rStyle w:val="CharStyle3"/>
          <w:i/>
          <w:iCs/>
        </w:rPr>
        <w:t>Citizenship</w:t>
      </w:r>
      <w:r>
        <w:rPr>
          <w:rStyle w:val="CharStyle3"/>
        </w:rPr>
        <w:t xml:space="preserve">] (collectively, the </w:t>
      </w:r>
      <w:r>
        <w:rPr>
          <w:rStyle w:val="CharStyle3"/>
          <w:b/>
          <w:bCs/>
        </w:rPr>
        <w:t>Specified Items</w:t>
      </w:r>
      <w:r>
        <w:rPr>
          <w:rStyle w:val="CharStyle3"/>
        </w:rPr>
        <w:t>),</w:t>
      </w:r>
    </w:p>
    <w:p>
      <w:pPr>
        <w:pStyle w:val="Style2"/>
        <w:keepNext w:val="0"/>
        <w:keepLines w:val="0"/>
        <w:widowControl w:val="0"/>
        <w:numPr>
          <w:ilvl w:val="0"/>
          <w:numId w:val="3"/>
        </w:numPr>
        <w:shd w:val="clear" w:color="auto" w:fill="auto"/>
        <w:tabs>
          <w:tab w:pos="1460" w:val="left"/>
        </w:tabs>
        <w:bidi w:val="0"/>
        <w:spacing w:line="240" w:lineRule="auto"/>
        <w:ind w:left="360" w:hanging="360"/>
        <w:jc w:val="left"/>
      </w:pPr>
      <w:r>
        <w:rPr>
          <w:rStyle w:val="CharStyle3"/>
        </w:rPr>
        <w:t>an individual required to submit a completed Form 33-109F5 under NI 33-109 is exempt from the requirement to submit information relating to any change to information previously submitted in respect of the individual's Form 33-109F4 in any of the Specified Items, and</w:t>
      </w:r>
    </w:p>
    <w:p>
      <w:pPr>
        <w:pStyle w:val="Style2"/>
        <w:keepNext w:val="0"/>
        <w:keepLines w:val="0"/>
        <w:widowControl w:val="0"/>
        <w:numPr>
          <w:ilvl w:val="0"/>
          <w:numId w:val="3"/>
        </w:numPr>
        <w:shd w:val="clear" w:color="auto" w:fill="auto"/>
        <w:tabs>
          <w:tab w:pos="1460" w:val="left"/>
        </w:tabs>
        <w:bidi w:val="0"/>
        <w:spacing w:line="240" w:lineRule="auto"/>
        <w:ind w:left="360" w:hanging="360"/>
        <w:jc w:val="left"/>
      </w:pPr>
      <w:r>
        <w:rPr>
          <w:rStyle w:val="CharStyle3"/>
        </w:rPr>
        <w:t>an individual is exempt from the requirement in section 4.1 of NI 33-109 to submit a notice of change if the change only relates to information previously submitted in item 4 [</w:t>
      </w:r>
      <w:r>
        <w:rPr>
          <w:rStyle w:val="CharStyle3"/>
          <w:i/>
          <w:iCs/>
        </w:rPr>
        <w:t>Citizenship</w:t>
      </w:r>
      <w:r>
        <w:rPr>
          <w:rStyle w:val="CharStyle3"/>
        </w:rPr>
        <w:t>] of the individual's Form 33-109F4.</w:t>
      </w:r>
    </w:p>
    <w:p>
      <w:pPr>
        <w:pStyle w:val="Style7"/>
        <w:keepNext/>
        <w:keepLines/>
        <w:widowControl w:val="0"/>
        <w:shd w:val="clear" w:color="auto" w:fill="auto"/>
        <w:bidi w:val="0"/>
        <w:spacing w:line="240" w:lineRule="auto"/>
        <w:ind w:left="0" w:firstLine="0"/>
        <w:jc w:val="left"/>
      </w:pPr>
      <w:bookmarkStart w:id="6" w:name="bookmark6"/>
      <w:r>
        <w:rPr>
          <w:rStyle w:val="CharStyle8"/>
          <w:b/>
          <w:bCs/>
        </w:rPr>
        <w:t>Effective Date and Term</w:t>
      </w:r>
      <w:bookmarkEnd w:id="6"/>
    </w:p>
    <w:p>
      <w:pPr>
        <w:pStyle w:val="Style2"/>
        <w:keepNext w:val="0"/>
        <w:keepLines w:val="0"/>
        <w:widowControl w:val="0"/>
        <w:numPr>
          <w:ilvl w:val="0"/>
          <w:numId w:val="1"/>
        </w:numPr>
        <w:shd w:val="clear" w:color="auto" w:fill="auto"/>
        <w:tabs>
          <w:tab w:pos="701" w:val="left"/>
        </w:tabs>
        <w:bidi w:val="0"/>
        <w:spacing w:line="240" w:lineRule="auto"/>
        <w:ind w:left="360" w:hanging="360"/>
        <w:jc w:val="left"/>
      </w:pPr>
      <w:r>
        <w:rPr>
          <w:rStyle w:val="CharStyle3"/>
        </w:rPr>
        <w:t>This Order takes effect on May 1, 2026 and expires on the date on which amendments to NI 33-109 come into force that address substantially the same subject matter as this Order.</w:t>
      </w:r>
    </w:p>
    <w:p>
      <w:pPr>
        <w:pStyle w:val="Style7"/>
        <w:keepNext/>
        <w:keepLines/>
        <w:widowControl w:val="0"/>
        <w:shd w:val="clear" w:color="auto" w:fill="auto"/>
        <w:bidi w:val="0"/>
        <w:spacing w:line="240" w:lineRule="auto"/>
        <w:ind w:left="0" w:firstLine="0"/>
        <w:jc w:val="left"/>
      </w:pPr>
      <w:bookmarkStart w:id="8" w:name="bookmark8"/>
      <w:r>
        <w:rPr>
          <w:rStyle w:val="CharStyle8"/>
          <w:b/>
          <w:bCs/>
        </w:rPr>
        <w:t>For the Commission:</w:t>
      </w:r>
      <w:bookmarkEnd w:id="8"/>
    </w:p>
    <w:p>
      <w:pPr>
        <w:pStyle w:val="Style2"/>
        <w:keepNext w:val="0"/>
        <w:keepLines w:val="0"/>
        <w:widowControl w:val="0"/>
        <w:shd w:val="clear" w:color="auto" w:fill="auto"/>
        <w:bidi w:val="0"/>
        <w:spacing w:line="240" w:lineRule="auto"/>
        <w:ind w:left="0" w:firstLine="0"/>
        <w:jc w:val="left"/>
        <w:rPr>
          <w:sz w:val="22"/>
          <w:szCs w:val="22"/>
        </w:rPr>
      </w:pPr>
      <w:r>
        <w:rPr>
          <w:rStyle w:val="CharStyle3"/>
          <w:i/>
          <w:iCs/>
          <w:sz w:val="22"/>
          <w:szCs w:val="22"/>
        </w:rPr>
        <w:t xml:space="preserve">“original signed by” </w:t>
      </w:r>
      <w:r>
        <w:rPr>
          <w:rStyle w:val="CharStyle3"/>
          <w:sz w:val="22"/>
          <w:szCs w:val="22"/>
        </w:rPr>
        <w:t>Stan Magidson, K.C. Chair</w:t>
      </w:r>
    </w:p>
    <w:p>
      <w:pPr>
        <w:pStyle w:val="Style2"/>
        <w:keepNext w:val="0"/>
        <w:keepLines w:val="0"/>
        <w:widowControl w:val="0"/>
        <w:shd w:val="clear" w:color="auto" w:fill="auto"/>
        <w:bidi w:val="0"/>
        <w:spacing w:line="240" w:lineRule="auto"/>
        <w:ind w:left="0" w:firstLine="0"/>
        <w:jc w:val="left"/>
        <w:rPr>
          <w:sz w:val="22"/>
          <w:szCs w:val="22"/>
        </w:rPr>
      </w:pPr>
      <w:r>
        <w:rPr>
          <w:rStyle w:val="CharStyle3"/>
          <w:i/>
          <w:iCs/>
          <w:sz w:val="22"/>
          <w:szCs w:val="22"/>
        </w:rPr>
        <w:t xml:space="preserve">“original signed by” </w:t>
      </w:r>
      <w:r>
        <w:rPr>
          <w:rStyle w:val="CharStyle3"/>
          <w:sz w:val="22"/>
          <w:szCs w:val="22"/>
        </w:rPr>
        <w:t>Kari Horn, K.C.</w:t>
      </w:r>
    </w:p>
    <w:p>
      <w:pPr>
        <w:pStyle w:val="Style2"/>
        <w:keepNext w:val="0"/>
        <w:keepLines w:val="0"/>
        <w:widowControl w:val="0"/>
        <w:shd w:val="clear" w:color="auto" w:fill="auto"/>
        <w:bidi w:val="0"/>
        <w:spacing w:line="240" w:lineRule="auto"/>
        <w:ind w:left="0" w:firstLine="0"/>
        <w:jc w:val="left"/>
        <w:rPr>
          <w:sz w:val="22"/>
          <w:szCs w:val="22"/>
        </w:rPr>
      </w:pPr>
      <w:r>
        <w:rPr>
          <w:rStyle w:val="CharStyle3"/>
          <w:sz w:val="22"/>
          <w:szCs w:val="22"/>
        </w:rPr>
        <w:t>Vice-Chair</w:t>
      </w:r>
    </w:p>
    <w:sectPr>
      <w:footnotePr>
        <w:pos w:val="pageBottom"/>
        <w:numFmt w:val="decimal"/>
        <w:numRestart w:val="continuous"/>
      </w:footnotePr>
      <w:pgSz w:w="12240" w:h="15840"/>
      <w:pgMar w:top="1054" w:right="1408" w:bottom="1915" w:left="1415"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abstractNum>
  <w:abstractNum w:abstractNumId="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abstractNum>
  <w:abstractNum w:abstractNumId="4">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abstractNum>
  <w:num w:numId="1">
    <w:abstractNumId w:val="0"/>
  </w:num>
  <w:num w:numId="3">
    <w:abstractNumId w:val="2"/>
  </w:num>
  <w:num w:numId="5">
    <w:abstractNumId w:val="4"/>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Times New Roman" w:eastAsia="Times New Roman" w:hAnsi="Times New Roman" w:cs="Times New Roman"/>
        <w:sz w:val="24"/>
        <w:szCs w:val="24"/>
        <w:lang w:val="en-US" w:eastAsia="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Times New Roman" w:eastAsia="Times New Roman" w:hAnsi="Times New Roman" w:cs="Times New Roman"/>
      <w:color w:val="000000"/>
      <w:spacing w:val="0"/>
      <w:w w:val="100"/>
      <w:position w:val="0"/>
      <w:sz w:val="24"/>
      <w:szCs w:val="24"/>
      <w:shd w:val="clear" w:color="auto" w:fill="auto"/>
      <w:lang w:val="en-US" w:eastAsia="en-US"/>
    </w:rPr>
  </w:style>
  <w:style w:type="character" w:default="1" w:styleId="DefaultParagraphFont">
    <w:name w:val="Default Paragraph Font"/>
    <w:rPr>
      <w:rFonts w:ascii="Times New Roman" w:eastAsia="Times New Roman" w:hAnsi="Times New Roman" w:cs="Times New Roman"/>
      <w:color w:val="000000"/>
      <w:spacing w:val="0"/>
      <w:w w:val="100"/>
      <w:position w:val="0"/>
      <w:sz w:val="24"/>
      <w:szCs w:val="24"/>
      <w:shd w:val="clear" w:color="auto" w:fill="auto"/>
      <w:lang w:val="en-US" w:eastAsia="en-US"/>
    </w:rPr>
  </w:style>
  <w:style w:type="character" w:customStyle="1" w:styleId="CharStyle3">
    <w:name w:val="Body text_"/>
    <w:basedOn w:val="DefaultParagraphFont"/>
    <w:link w:val="Style2"/>
    <w:rPr>
      <w:b w:val="0"/>
      <w:bCs w:val="0"/>
      <w:i w:val="0"/>
      <w:iCs w:val="0"/>
      <w:smallCaps w:val="0"/>
      <w:strike w:val="0"/>
      <w:u w:val="none"/>
    </w:rPr>
  </w:style>
  <w:style w:type="character" w:customStyle="1" w:styleId="CharStyle8">
    <w:name w:val="Heading #1_"/>
    <w:basedOn w:val="DefaultParagraphFont"/>
    <w:link w:val="Style7"/>
    <w:rPr>
      <w:b/>
      <w:bCs/>
      <w:i w:val="0"/>
      <w:iCs w:val="0"/>
      <w:smallCaps w:val="0"/>
      <w:strike w:val="0"/>
      <w:u w:val="none"/>
    </w:rPr>
  </w:style>
  <w:style w:type="paragraph" w:styleId="Style2">
    <w:name w:val="Body text"/>
    <w:basedOn w:val="Normal"/>
    <w:link w:val="CharStyle3"/>
    <w:qFormat/>
    <w:pPr>
      <w:widowControl w:val="0"/>
      <w:shd w:val="clear" w:color="auto" w:fill="auto"/>
    </w:pPr>
    <w:rPr>
      <w:b w:val="0"/>
      <w:bCs w:val="0"/>
      <w:i w:val="0"/>
      <w:iCs w:val="0"/>
      <w:smallCaps w:val="0"/>
      <w:strike w:val="0"/>
      <w:u w:val="none"/>
    </w:rPr>
  </w:style>
  <w:style w:type="paragraph" w:customStyle="1" w:styleId="Style7">
    <w:name w:val="Heading #1"/>
    <w:basedOn w:val="Normal"/>
    <w:link w:val="CharStyle8"/>
    <w:pPr>
      <w:widowControl w:val="0"/>
      <w:shd w:val="clear" w:color="auto" w:fill="auto"/>
      <w:outlineLvl w:val="0"/>
    </w:pPr>
    <w:rPr>
      <w:b/>
      <w:bCs/>
      <w:i w:val="0"/>
      <w:iCs w:val="0"/>
      <w:smallCaps w:val="0"/>
      <w:strike w:val="0"/>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s>
</file>