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0" w:before="300"/>
      </w:pPr>
      <w:r>
        <w:t xml:space="preserve"/>
      </w:r>
    </w:p>
    <w:p>
      <w:pPr>
        <w:spacing w:after="0" w:before="200"/>
        <w:jc w:val="center"/>
      </w:pPr>
      <w:r>
        <w:rPr>
          <w:rFonts w:ascii="Times New Roman" w:cs="Times New Roman" w:eastAsia="Times New Roman" w:hAnsi="Times New Roman"/>
          <w:b/>
          <w:bCs/>
          <w:color w:val="1F3864"/>
          <w:spacing w:val="20"/>
          <w:sz w:val="40"/>
          <w:szCs w:val="40"/>
        </w:rPr>
        <w:t xml:space="preserve">C L O U D O R A</w:t>
      </w:r>
    </w:p>
    <w:p>
      <w:pPr>
        <w:spacing w:after="700" w:before="40"/>
        <w:jc w:val="center"/>
      </w:pPr>
      <w:r>
        <w:rPr>
          <w:rFonts w:ascii="Times New Roman" w:cs="Times New Roman" w:eastAsia="Times New Roman" w:hAnsi="Times New Roman"/>
          <w:i/>
          <w:iCs/>
          <w:color w:val="404040"/>
          <w:sz w:val="22"/>
          <w:szCs w:val="22"/>
        </w:rPr>
        <w:t xml:space="preserve">Security Operations — Incident Response</w:t>
      </w:r>
    </w:p>
    <w:p>
      <w:pPr>
        <w:spacing w:after="100" w:before="200"/>
        <w:jc w:val="center"/>
      </w:pPr>
      <w:r>
        <w:rPr>
          <w:rFonts w:ascii="Times New Roman" w:cs="Times New Roman" w:eastAsia="Times New Roman" w:hAnsi="Times New Roman"/>
          <w:b/>
          <w:bCs/>
          <w:color w:val="1B1B1B"/>
          <w:sz w:val="44"/>
          <w:szCs w:val="44"/>
        </w:rPr>
        <w:t xml:space="preserve">INCIDENT RESPONSE REPORT</w:t>
      </w:r>
    </w:p>
    <w:p>
      <w:pPr>
        <w:spacing w:after="600" w:before="0"/>
        <w:jc w:val="center"/>
      </w:pPr>
      <w:r>
        <w:rPr>
          <w:rFonts w:ascii="Times New Roman" w:cs="Times New Roman" w:eastAsia="Times New Roman" w:hAnsi="Times New Roman"/>
          <w:b/>
          <w:bCs/>
          <w:color w:val="1F3864"/>
          <w:sz w:val="28"/>
          <w:szCs w:val="28"/>
        </w:rPr>
        <w:t xml:space="preserve">Payroll-Themed Credential Phishing Campaign — Two Accounts Compromised via a Lookalike Portal</w:t>
      </w:r>
    </w:p>
    <w:p>
      <w:pPr>
        <w:spacing w:after="300"/>
      </w:pPr>
    </w:p>
    <w:tbl>
      <w:tblPr>
        <w:tblW w:type="pct" w:w="70%"/>
        <w:jc w:val="center"/>
        <w:tblBorders>
          <w:top w:val="single" w:color="BFBFBF" w:sz="4"/>
          <w:left w:val="none" w:color="FFFFFF" w:sz="0"/>
          <w:bottom w:val="single" w:color="BFBFBF" w:sz="4"/>
          <w:right w:val="none" w:color="FFFFFF" w:sz="0"/>
          <w:insideH w:val="single" w:color="BFBFBF" w:sz="4"/>
          <w:insideV w:val="none" w:color="FFFFFF" w:sz="0"/>
        </w:tblBorders>
      </w:tblPr>
      <w:tblGrid>
        <w:gridCol w:w="2880"/>
        <w:gridCol w:w="3840"/>
      </w:tblGrid>
      <w:tr>
        <w:tc>
          <w:tcPr>
            <w:tcW w:type="pct" w:w="30%"/>
            <w:tcMar>
              <w:top w:type="dxa" w:w="90"/>
              <w:left w:type="dxa" w:w="60"/>
              <w:bottom w:type="dxa" w:w="90"/>
              <w:right w:type="dxa" w:w="60"/>
            </w:tcMar>
          </w:tcPr>
          <w:p>
            <w:r>
              <w:rPr>
                <w:rFonts w:ascii="Times New Roman" w:cs="Times New Roman" w:eastAsia="Times New Roman" w:hAnsi="Times New Roman"/>
                <w:b/>
                <w:bCs/>
                <w:color w:val="1F3864"/>
                <w:sz w:val="20"/>
                <w:szCs w:val="20"/>
              </w:rPr>
              <w:t xml:space="preserve">Report ID</w:t>
            </w:r>
          </w:p>
        </w:tc>
        <w:tc>
          <w:tcPr>
            <w:tcW w:type="pct" w:w="40%"/>
            <w:tcMar>
              <w:top w:type="dxa" w:w="90"/>
              <w:left w:type="dxa" w:w="60"/>
              <w:bottom w:type="dxa" w:w="90"/>
              <w:right w:type="dxa" w:w="60"/>
            </w:tcMar>
          </w:tcPr>
          <w:p>
            <w:r>
              <w:rPr>
                <w:rFonts w:ascii="Times New Roman" w:cs="Times New Roman" w:eastAsia="Times New Roman" w:hAnsi="Times New Roman"/>
                <w:color w:val="404040"/>
                <w:sz w:val="20"/>
                <w:szCs w:val="20"/>
              </w:rPr>
              <w:t xml:space="preserve">CLD-IR-0002</w:t>
            </w:r>
          </w:p>
        </w:tc>
      </w:tr>
      <w:tr>
        <w:tc>
          <w:tcPr>
            <w:tcW w:type="pct" w:w="30%"/>
            <w:tcMar>
              <w:top w:type="dxa" w:w="90"/>
              <w:left w:type="dxa" w:w="60"/>
              <w:bottom w:type="dxa" w:w="90"/>
              <w:right w:type="dxa" w:w="60"/>
            </w:tcMar>
          </w:tcPr>
          <w:p>
            <w:r>
              <w:rPr>
                <w:rFonts w:ascii="Times New Roman" w:cs="Times New Roman" w:eastAsia="Times New Roman" w:hAnsi="Times New Roman"/>
                <w:b/>
                <w:bCs/>
                <w:color w:val="1F3864"/>
                <w:sz w:val="20"/>
                <w:szCs w:val="20"/>
              </w:rPr>
              <w:t xml:space="preserve">Related ticket</w:t>
            </w:r>
          </w:p>
        </w:tc>
        <w:tc>
          <w:tcPr>
            <w:tcW w:type="pct" w:w="40%"/>
            <w:tcMar>
              <w:top w:type="dxa" w:w="90"/>
              <w:left w:type="dxa" w:w="60"/>
              <w:bottom w:type="dxa" w:w="90"/>
              <w:right w:type="dxa" w:w="60"/>
            </w:tcMar>
          </w:tcPr>
          <w:p>
            <w:r>
              <w:rPr>
                <w:rFonts w:ascii="Times New Roman" w:cs="Times New Roman" w:eastAsia="Times New Roman" w:hAnsi="Times New Roman"/>
                <w:color w:val="404040"/>
                <w:sz w:val="20"/>
                <w:szCs w:val="20"/>
              </w:rPr>
              <w:t xml:space="preserve">CLD-0002 — Reported phishing email impersonating Cloudora HR (payroll theme)</w:t>
            </w:r>
          </w:p>
        </w:tc>
      </w:tr>
      <w:tr>
        <w:tc>
          <w:tcPr>
            <w:tcW w:type="pct" w:w="30%"/>
            <w:tcMar>
              <w:top w:type="dxa" w:w="90"/>
              <w:left w:type="dxa" w:w="60"/>
              <w:bottom w:type="dxa" w:w="90"/>
              <w:right w:type="dxa" w:w="60"/>
            </w:tcMar>
          </w:tcPr>
          <w:p>
            <w:r>
              <w:rPr>
                <w:rFonts w:ascii="Times New Roman" w:cs="Times New Roman" w:eastAsia="Times New Roman" w:hAnsi="Times New Roman"/>
                <w:b/>
                <w:bCs/>
                <w:color w:val="1F3864"/>
                <w:sz w:val="20"/>
                <w:szCs w:val="20"/>
              </w:rPr>
              <w:t xml:space="preserve">Classification</w:t>
            </w:r>
          </w:p>
        </w:tc>
        <w:tc>
          <w:tcPr>
            <w:tcW w:type="pct" w:w="40%"/>
            <w:tcMar>
              <w:top w:type="dxa" w:w="90"/>
              <w:left w:type="dxa" w:w="60"/>
              <w:bottom w:type="dxa" w:w="90"/>
              <w:right w:type="dxa" w:w="60"/>
            </w:tcMar>
          </w:tcPr>
          <w:p>
            <w:r>
              <w:rPr>
                <w:rFonts w:ascii="Times New Roman" w:cs="Times New Roman" w:eastAsia="Times New Roman" w:hAnsi="Times New Roman"/>
                <w:color w:val="404040"/>
                <w:sz w:val="20"/>
                <w:szCs w:val="20"/>
              </w:rPr>
              <w:t xml:space="preserve">TLP:AMBER (Training Use)</w:t>
            </w:r>
          </w:p>
        </w:tc>
      </w:tr>
      <w:tr>
        <w:tc>
          <w:tcPr>
            <w:tcW w:type="pct" w:w="30%"/>
            <w:tcMar>
              <w:top w:type="dxa" w:w="90"/>
              <w:left w:type="dxa" w:w="60"/>
              <w:bottom w:type="dxa" w:w="90"/>
              <w:right w:type="dxa" w:w="60"/>
            </w:tcMar>
          </w:tcPr>
          <w:p>
            <w:r>
              <w:rPr>
                <w:rFonts w:ascii="Times New Roman" w:cs="Times New Roman" w:eastAsia="Times New Roman" w:hAnsi="Times New Roman"/>
                <w:b/>
                <w:bCs/>
                <w:color w:val="1F3864"/>
                <w:sz w:val="20"/>
                <w:szCs w:val="20"/>
              </w:rPr>
              <w:t xml:space="preserve">Severity</w:t>
            </w:r>
          </w:p>
        </w:tc>
        <w:tc>
          <w:tcPr>
            <w:tcW w:type="pct" w:w="40%"/>
            <w:tcMar>
              <w:top w:type="dxa" w:w="90"/>
              <w:left w:type="dxa" w:w="60"/>
              <w:bottom w:type="dxa" w:w="90"/>
              <w:right w:type="dxa" w:w="60"/>
            </w:tcMar>
          </w:tcPr>
          <w:p>
            <w:r>
              <w:rPr>
                <w:rFonts w:ascii="Times New Roman" w:cs="Times New Roman" w:eastAsia="Times New Roman" w:hAnsi="Times New Roman"/>
                <w:color w:val="404040"/>
                <w:sz w:val="20"/>
                <w:szCs w:val="20"/>
              </w:rPr>
              <w:t xml:space="preserve">P1 — Two staff accounts compromised, attacker actively signed in</w:t>
            </w:r>
          </w:p>
        </w:tc>
      </w:tr>
      <w:tr>
        <w:tc>
          <w:tcPr>
            <w:tcW w:type="pct" w:w="30%"/>
            <w:tcMar>
              <w:top w:type="dxa" w:w="90"/>
              <w:left w:type="dxa" w:w="60"/>
              <w:bottom w:type="dxa" w:w="90"/>
              <w:right w:type="dxa" w:w="60"/>
            </w:tcMar>
          </w:tcPr>
          <w:p>
            <w:r>
              <w:rPr>
                <w:rFonts w:ascii="Times New Roman" w:cs="Times New Roman" w:eastAsia="Times New Roman" w:hAnsi="Times New Roman"/>
                <w:b/>
                <w:bCs/>
                <w:color w:val="1F3864"/>
                <w:sz w:val="20"/>
                <w:szCs w:val="20"/>
              </w:rPr>
              <w:t xml:space="preserve">Prepared by</w:t>
            </w:r>
          </w:p>
        </w:tc>
        <w:tc>
          <w:tcPr>
            <w:tcW w:type="pct" w:w="40%"/>
            <w:tcMar>
              <w:top w:type="dxa" w:w="90"/>
              <w:left w:type="dxa" w:w="60"/>
              <w:bottom w:type="dxa" w:w="90"/>
              <w:right w:type="dxa" w:w="60"/>
            </w:tcMar>
          </w:tcPr>
          <w:p>
            <w:r>
              <w:rPr>
                <w:rFonts w:ascii="Times New Roman" w:cs="Times New Roman" w:eastAsia="Times New Roman" w:hAnsi="Times New Roman"/>
                <w:color w:val="404040"/>
                <w:sz w:val="20"/>
                <w:szCs w:val="20"/>
              </w:rPr>
              <w:t xml:space="preserve">Sai Nithish Sampath, Security Analyst (Simulated Engagement)</w:t>
            </w:r>
          </w:p>
        </w:tc>
      </w:tr>
      <w:tr>
        <w:tc>
          <w:tcPr>
            <w:tcW w:type="pct" w:w="30%"/>
            <w:tcMar>
              <w:top w:type="dxa" w:w="90"/>
              <w:left w:type="dxa" w:w="60"/>
              <w:bottom w:type="dxa" w:w="90"/>
              <w:right w:type="dxa" w:w="60"/>
            </w:tcMar>
          </w:tcPr>
          <w:p>
            <w:r>
              <w:rPr>
                <w:rFonts w:ascii="Times New Roman" w:cs="Times New Roman" w:eastAsia="Times New Roman" w:hAnsi="Times New Roman"/>
                <w:b/>
                <w:bCs/>
                <w:color w:val="1F3864"/>
                <w:sz w:val="20"/>
                <w:szCs w:val="20"/>
              </w:rPr>
              <w:t xml:space="preserve">Investigation dates</w:t>
            </w:r>
          </w:p>
        </w:tc>
        <w:tc>
          <w:tcPr>
            <w:tcW w:type="pct" w:w="40%"/>
            <w:tcMar>
              <w:top w:type="dxa" w:w="90"/>
              <w:left w:type="dxa" w:w="60"/>
              <w:bottom w:type="dxa" w:w="90"/>
              <w:right w:type="dxa" w:w="60"/>
            </w:tcMar>
          </w:tcPr>
          <w:p>
            <w:r>
              <w:rPr>
                <w:rFonts w:ascii="Times New Roman" w:cs="Times New Roman" w:eastAsia="Times New Roman" w:hAnsi="Times New Roman"/>
                <w:color w:val="404040"/>
                <w:sz w:val="20"/>
                <w:szCs w:val="20"/>
              </w:rPr>
              <w:t xml:space="preserve">25 – 26 August 2026</w:t>
            </w:r>
          </w:p>
        </w:tc>
      </w:tr>
      <w:tr>
        <w:tc>
          <w:tcPr>
            <w:tcW w:type="pct" w:w="30%"/>
            <w:tcMar>
              <w:top w:type="dxa" w:w="90"/>
              <w:left w:type="dxa" w:w="60"/>
              <w:bottom w:type="dxa" w:w="90"/>
              <w:right w:type="dxa" w:w="60"/>
            </w:tcMar>
          </w:tcPr>
          <w:p>
            <w:r>
              <w:rPr>
                <w:rFonts w:ascii="Times New Roman" w:cs="Times New Roman" w:eastAsia="Times New Roman" w:hAnsi="Times New Roman"/>
                <w:b/>
                <w:bCs/>
                <w:color w:val="1F3864"/>
                <w:sz w:val="20"/>
                <w:szCs w:val="20"/>
              </w:rPr>
              <w:t xml:space="preserve">Report date</w:t>
            </w:r>
          </w:p>
        </w:tc>
        <w:tc>
          <w:tcPr>
            <w:tcW w:type="pct" w:w="40%"/>
            <w:tcMar>
              <w:top w:type="dxa" w:w="90"/>
              <w:left w:type="dxa" w:w="60"/>
              <w:bottom w:type="dxa" w:w="90"/>
              <w:right w:type="dxa" w:w="60"/>
            </w:tcMar>
          </w:tcPr>
          <w:p>
            <w:r>
              <w:rPr>
                <w:rFonts w:ascii="Times New Roman" w:cs="Times New Roman" w:eastAsia="Times New Roman" w:hAnsi="Times New Roman"/>
                <w:color w:val="404040"/>
                <w:sz w:val="20"/>
                <w:szCs w:val="20"/>
              </w:rPr>
              <w:t xml:space="preserve">27 August 2026</w:t>
            </w:r>
          </w:p>
        </w:tc>
      </w:tr>
      <w:tr>
        <w:tc>
          <w:tcPr>
            <w:tcW w:type="pct" w:w="30%"/>
            <w:tcMar>
              <w:top w:type="dxa" w:w="90"/>
              <w:left w:type="dxa" w:w="60"/>
              <w:bottom w:type="dxa" w:w="90"/>
              <w:right w:type="dxa" w:w="60"/>
            </w:tcMar>
          </w:tcPr>
          <w:p>
            <w:r>
              <w:rPr>
                <w:rFonts w:ascii="Times New Roman" w:cs="Times New Roman" w:eastAsia="Times New Roman" w:hAnsi="Times New Roman"/>
                <w:b/>
                <w:bCs/>
                <w:color w:val="1F3864"/>
                <w:sz w:val="20"/>
                <w:szCs w:val="20"/>
              </w:rPr>
              <w:t xml:space="preserve">Distribution</w:t>
            </w:r>
          </w:p>
        </w:tc>
        <w:tc>
          <w:tcPr>
            <w:tcW w:type="pct" w:w="40%"/>
            <w:tcMar>
              <w:top w:type="dxa" w:w="90"/>
              <w:left w:type="dxa" w:w="60"/>
              <w:bottom w:type="dxa" w:w="90"/>
              <w:right w:type="dxa" w:w="60"/>
            </w:tcMar>
          </w:tcPr>
          <w:p>
            <w:r>
              <w:rPr>
                <w:rFonts w:ascii="Times New Roman" w:cs="Times New Roman" w:eastAsia="Times New Roman" w:hAnsi="Times New Roman"/>
                <w:color w:val="404040"/>
                <w:sz w:val="20"/>
                <w:szCs w:val="20"/>
              </w:rPr>
              <w:t xml:space="preserve">Cloudora IT Security, HR, Affected Staff (user comms)</w:t>
            </w:r>
          </w:p>
        </w:tc>
      </w:tr>
    </w:tbl>
    <w:p>
      <w:pPr>
        <w:spacing w:after="200" w:before="500"/>
      </w:pPr>
    </w:p>
    <w:tbl>
      <w:tblPr>
        <w:tblW w:type="pct" w:w="100%"/>
        <w:tblBorders>
          <w:top w:val="single" w:color="1F3864" w:sz="6"/>
          <w:left w:val="single" w:color="1F3864" w:sz="6"/>
          <w:bottom w:val="single" w:color="1F3864" w:sz="6"/>
          <w:right w:val="single" w:color="1F3864" w:sz="6"/>
          <w:insideH w:val="none" w:color="FFFFFF" w:sz="0"/>
          <w:insideV w:val="none" w:color="FFFFFF" w:sz="0"/>
        </w:tblBorders>
      </w:tblPr>
      <w:tblGrid>
        <w:gridCol w:w="100"/>
      </w:tblGrid>
      <w:tr>
        <w:tc>
          <w:tcPr>
            <w:tcW w:type="pct" w:w="100%"/>
            <w:shd w:fill="F2F2F2" w:val="clear"/>
            <w:tcMar>
              <w:top w:type="dxa" w:w="160"/>
              <w:left w:type="dxa" w:w="200"/>
              <w:bottom w:type="dxa" w:w="160"/>
              <w:right w:type="dxa" w:w="200"/>
            </w:tcMar>
          </w:tcPr>
          <w:p>
            <w:pPr>
              <w:spacing w:after="80"/>
            </w:pPr>
            <w:r>
              <w:rPr>
                <w:rFonts w:ascii="Times New Roman" w:cs="Times New Roman" w:eastAsia="Times New Roman" w:hAnsi="Times New Roman"/>
                <w:b/>
                <w:bCs/>
                <w:color w:val="1F3864"/>
                <w:sz w:val="22"/>
                <w:szCs w:val="22"/>
              </w:rPr>
              <w:t xml:space="preserve">About this document</w:t>
            </w:r>
          </w:p>
          <w:p>
            <w:pPr>
              <w:spacing w:after="40"/>
            </w:pPr>
            <w:r>
              <w:rPr>
                <w:rFonts w:ascii="Times New Roman" w:cs="Times New Roman" w:eastAsia="Times New Roman" w:hAnsi="Times New Roman"/>
                <w:color w:val="404040"/>
                <w:sz w:val="21"/>
                <w:szCs w:val="21"/>
              </w:rPr>
              <w:t xml:space="preserve">Cloudora is a fictional organisation used for training purposes. This report documents a simulated incident response exercise (“Payroll Phishing Campaign”) completed as part of independent SOC-analyst practice, working from raw phishing emails, Exchange Online message-trace logs, and Microsoft Entra ID sign-in logs in a lab environment.</w:t>
            </w:r>
          </w:p>
          <w:p>
            <w:pPr>
              <w:spacing w:after="40"/>
            </w:pPr>
            <w:r>
              <w:rPr>
                <w:rFonts w:ascii="Times New Roman" w:cs="Times New Roman" w:eastAsia="Times New Roman" w:hAnsi="Times New Roman"/>
                <w:color w:val="404040"/>
                <w:sz w:val="21"/>
                <w:szCs w:val="21"/>
              </w:rPr>
              <w:t xml:space="preserve">The header analysis, KQL queries, findings, and conclusions in this document were produced first-hand from the raw data by the author. It is presented here in a consultancy-style format to demonstrate report-writing standards for a SOC/analyst portfolio, and is not a report of an actual security incident at a real company.</w:t>
            </w:r>
          </w:p>
        </w:tc>
      </w:tr>
    </w:tbl>
    <w:p>
      <w:r>
        <w:br w:type="page"/>
      </w:r>
    </w:p>
    <w:p>
      <w:pPr>
        <w:sectPr>
          <w:pgSz w:w="11906" w:h="16838" w:orient="portrait"/>
          <w:pgMar w:top="1440" w:right="1350" w:bottom="1440" w:left="1350" w:header="708" w:footer="708" w:gutter="0"/>
          <w:pgNumType/>
          <w:docGrid w:linePitch="360"/>
        </w:sectPr>
      </w:pPr>
    </w:p>
    <w:p>
      <w:pPr>
        <w:spacing w:after="260"/>
      </w:pPr>
      <w:r>
        <w:rPr>
          <w:rFonts w:ascii="Times New Roman" w:cs="Times New Roman" w:eastAsia="Times New Roman" w:hAnsi="Times New Roman"/>
          <w:b/>
          <w:bCs/>
          <w:color w:val="1F3864"/>
          <w:sz w:val="32"/>
          <w:szCs w:val="32"/>
        </w:rPr>
        <w:t xml:space="preserve">Table of Contents</w:t>
      </w:r>
    </w:p>
    <w:p>
      <w:pPr>
        <w:tabs>
          <w:tab w:val="right" w:pos="9026" w:leader="dot"/>
        </w:tabs>
        <w:spacing w:after="140"/>
      </w:pPr>
      <w:r>
        <w:rPr>
          <w:rFonts w:ascii="Times New Roman" w:cs="Times New Roman" w:eastAsia="Times New Roman" w:hAnsi="Times New Roman"/>
          <w:color w:val="1B1B1B"/>
          <w:sz w:val="22"/>
          <w:szCs w:val="22"/>
        </w:rPr>
        <w:t xml:space="preserve">1. Executive Summary</w:t>
      </w:r>
      <w:r>
        <w:rPr>
          <w:rFonts w:ascii="Times New Roman" w:cs="Times New Roman" w:eastAsia="Times New Roman" w:hAnsi="Times New Roman"/>
          <w:color w:val="1B1B1B"/>
          <w:sz w:val="22"/>
          <w:szCs w:val="22"/>
        </w:rPr>
        <w:t xml:space="preserve">	3</w:t>
      </w:r>
    </w:p>
    <w:p>
      <w:pPr>
        <w:tabs>
          <w:tab w:val="right" w:pos="9026" w:leader="dot"/>
        </w:tabs>
        <w:spacing w:after="140"/>
      </w:pPr>
      <w:r>
        <w:rPr>
          <w:rFonts w:ascii="Times New Roman" w:cs="Times New Roman" w:eastAsia="Times New Roman" w:hAnsi="Times New Roman"/>
          <w:color w:val="1B1B1B"/>
          <w:sz w:val="22"/>
          <w:szCs w:val="22"/>
        </w:rPr>
        <w:t xml:space="preserve">2. Incident Overview</w:t>
      </w:r>
      <w:r>
        <w:rPr>
          <w:rFonts w:ascii="Times New Roman" w:cs="Times New Roman" w:eastAsia="Times New Roman" w:hAnsi="Times New Roman"/>
          <w:color w:val="1B1B1B"/>
          <w:sz w:val="22"/>
          <w:szCs w:val="22"/>
        </w:rPr>
        <w:t xml:space="preserve">	3</w:t>
      </w:r>
    </w:p>
    <w:p>
      <w:pPr>
        <w:tabs>
          <w:tab w:val="right" w:pos="9026" w:leader="dot"/>
        </w:tabs>
        <w:spacing w:after="140"/>
      </w:pPr>
      <w:r>
        <w:rPr>
          <w:rFonts w:ascii="Times New Roman" w:cs="Times New Roman" w:eastAsia="Times New Roman" w:hAnsi="Times New Roman"/>
          <w:color w:val="1B1B1B"/>
          <w:sz w:val="22"/>
          <w:szCs w:val="22"/>
        </w:rPr>
        <w:t xml:space="preserve">3. Investigation Methodology</w:t>
      </w:r>
      <w:r>
        <w:rPr>
          <w:rFonts w:ascii="Times New Roman" w:cs="Times New Roman" w:eastAsia="Times New Roman" w:hAnsi="Times New Roman"/>
          <w:color w:val="1B1B1B"/>
          <w:sz w:val="22"/>
          <w:szCs w:val="22"/>
        </w:rPr>
        <w:t xml:space="preserve">	4</w:t>
      </w:r>
    </w:p>
    <w:p>
      <w:pPr>
        <w:tabs>
          <w:tab w:val="right" w:pos="9026" w:leader="dot"/>
        </w:tabs>
        <w:spacing w:after="140"/>
      </w:pPr>
      <w:r>
        <w:rPr>
          <w:rFonts w:ascii="Times New Roman" w:cs="Times New Roman" w:eastAsia="Times New Roman" w:hAnsi="Times New Roman"/>
          <w:color w:val="1B1B1B"/>
          <w:sz w:val="22"/>
          <w:szCs w:val="22"/>
        </w:rPr>
        <w:t xml:space="preserve">4. Detailed Timeline</w:t>
      </w:r>
      <w:r>
        <w:rPr>
          <w:rFonts w:ascii="Times New Roman" w:cs="Times New Roman" w:eastAsia="Times New Roman" w:hAnsi="Times New Roman"/>
          <w:color w:val="1B1B1B"/>
          <w:sz w:val="22"/>
          <w:szCs w:val="22"/>
        </w:rPr>
        <w:t xml:space="preserve">	4</w:t>
      </w:r>
    </w:p>
    <w:p>
      <w:pPr>
        <w:tabs>
          <w:tab w:val="right" w:pos="9026" w:leader="dot"/>
        </w:tabs>
        <w:spacing w:after="140"/>
      </w:pPr>
      <w:r>
        <w:rPr>
          <w:rFonts w:ascii="Times New Roman" w:cs="Times New Roman" w:eastAsia="Times New Roman" w:hAnsi="Times New Roman"/>
          <w:color w:val="1B1B1B"/>
          <w:sz w:val="22"/>
          <w:szCs w:val="22"/>
        </w:rPr>
        <w:t xml:space="preserve">5. Evidence and Analysis</w:t>
      </w:r>
      <w:r>
        <w:rPr>
          <w:rFonts w:ascii="Times New Roman" w:cs="Times New Roman" w:eastAsia="Times New Roman" w:hAnsi="Times New Roman"/>
          <w:color w:val="1B1B1B"/>
          <w:sz w:val="22"/>
          <w:szCs w:val="22"/>
        </w:rPr>
        <w:t xml:space="preserve">	5</w:t>
      </w:r>
    </w:p>
    <w:p>
      <w:pPr>
        <w:tabs>
          <w:tab w:val="right" w:pos="9026" w:leader="dot"/>
        </w:tabs>
        <w:spacing w:after="140"/>
      </w:pPr>
      <w:r>
        <w:rPr>
          <w:rFonts w:ascii="Times New Roman" w:cs="Times New Roman" w:eastAsia="Times New Roman" w:hAnsi="Times New Roman"/>
          <w:color w:val="1B1B1B"/>
          <w:sz w:val="22"/>
          <w:szCs w:val="22"/>
        </w:rPr>
        <w:t xml:space="preserve">6. Indicators of Compromise</w:t>
      </w:r>
      <w:r>
        <w:rPr>
          <w:rFonts w:ascii="Times New Roman" w:cs="Times New Roman" w:eastAsia="Times New Roman" w:hAnsi="Times New Roman"/>
          <w:color w:val="1B1B1B"/>
          <w:sz w:val="22"/>
          <w:szCs w:val="22"/>
        </w:rPr>
        <w:t xml:space="preserve">	8</w:t>
      </w:r>
    </w:p>
    <w:p>
      <w:pPr>
        <w:tabs>
          <w:tab w:val="right" w:pos="9026" w:leader="dot"/>
        </w:tabs>
        <w:spacing w:after="140"/>
      </w:pPr>
      <w:r>
        <w:rPr>
          <w:rFonts w:ascii="Times New Roman" w:cs="Times New Roman" w:eastAsia="Times New Roman" w:hAnsi="Times New Roman"/>
          <w:color w:val="1B1B1B"/>
          <w:sz w:val="22"/>
          <w:szCs w:val="22"/>
        </w:rPr>
        <w:t xml:space="preserve">7. MITRE ATT&amp;CK Mapping</w:t>
      </w:r>
      <w:r>
        <w:rPr>
          <w:rFonts w:ascii="Times New Roman" w:cs="Times New Roman" w:eastAsia="Times New Roman" w:hAnsi="Times New Roman"/>
          <w:color w:val="1B1B1B"/>
          <w:sz w:val="22"/>
          <w:szCs w:val="22"/>
        </w:rPr>
        <w:t xml:space="preserve">	9</w:t>
      </w:r>
    </w:p>
    <w:p>
      <w:pPr>
        <w:tabs>
          <w:tab w:val="right" w:pos="9026" w:leader="dot"/>
        </w:tabs>
        <w:spacing w:after="140"/>
      </w:pPr>
      <w:r>
        <w:rPr>
          <w:rFonts w:ascii="Times New Roman" w:cs="Times New Roman" w:eastAsia="Times New Roman" w:hAnsi="Times New Roman"/>
          <w:color w:val="1B1B1B"/>
          <w:sz w:val="22"/>
          <w:szCs w:val="22"/>
        </w:rPr>
        <w:t xml:space="preserve">8. Detection Logic</w:t>
      </w:r>
      <w:r>
        <w:rPr>
          <w:rFonts w:ascii="Times New Roman" w:cs="Times New Roman" w:eastAsia="Times New Roman" w:hAnsi="Times New Roman"/>
          <w:color w:val="1B1B1B"/>
          <w:sz w:val="22"/>
          <w:szCs w:val="22"/>
        </w:rPr>
        <w:t xml:space="preserve">	9</w:t>
      </w:r>
    </w:p>
    <w:p>
      <w:pPr>
        <w:tabs>
          <w:tab w:val="right" w:pos="9026" w:leader="dot"/>
        </w:tabs>
        <w:spacing w:after="140"/>
      </w:pPr>
      <w:r>
        <w:rPr>
          <w:rFonts w:ascii="Times New Roman" w:cs="Times New Roman" w:eastAsia="Times New Roman" w:hAnsi="Times New Roman"/>
          <w:color w:val="1B1B1B"/>
          <w:sz w:val="22"/>
          <w:szCs w:val="22"/>
        </w:rPr>
        <w:t xml:space="preserve">9. Containment Actions</w:t>
      </w:r>
      <w:r>
        <w:rPr>
          <w:rFonts w:ascii="Times New Roman" w:cs="Times New Roman" w:eastAsia="Times New Roman" w:hAnsi="Times New Roman"/>
          <w:color w:val="1B1B1B"/>
          <w:sz w:val="22"/>
          <w:szCs w:val="22"/>
        </w:rPr>
        <w:t xml:space="preserve">	10</w:t>
      </w:r>
    </w:p>
    <w:p>
      <w:pPr>
        <w:tabs>
          <w:tab w:val="right" w:pos="9026" w:leader="dot"/>
        </w:tabs>
        <w:spacing w:after="140"/>
      </w:pPr>
      <w:r>
        <w:rPr>
          <w:rFonts w:ascii="Times New Roman" w:cs="Times New Roman" w:eastAsia="Times New Roman" w:hAnsi="Times New Roman"/>
          <w:color w:val="1B1B1B"/>
          <w:sz w:val="22"/>
          <w:szCs w:val="22"/>
        </w:rPr>
        <w:t xml:space="preserve">10. Root Cause Analysis</w:t>
      </w:r>
      <w:r>
        <w:rPr>
          <w:rFonts w:ascii="Times New Roman" w:cs="Times New Roman" w:eastAsia="Times New Roman" w:hAnsi="Times New Roman"/>
          <w:color w:val="1B1B1B"/>
          <w:sz w:val="22"/>
          <w:szCs w:val="22"/>
        </w:rPr>
        <w:t xml:space="preserve">	10</w:t>
      </w:r>
    </w:p>
    <w:p>
      <w:pPr>
        <w:tabs>
          <w:tab w:val="right" w:pos="9026" w:leader="dot"/>
        </w:tabs>
        <w:spacing w:after="140"/>
      </w:pPr>
      <w:r>
        <w:rPr>
          <w:rFonts w:ascii="Times New Roman" w:cs="Times New Roman" w:eastAsia="Times New Roman" w:hAnsi="Times New Roman"/>
          <w:color w:val="1B1B1B"/>
          <w:sz w:val="22"/>
          <w:szCs w:val="22"/>
        </w:rPr>
        <w:t xml:space="preserve">11. Impact Assessment</w:t>
      </w:r>
      <w:r>
        <w:rPr>
          <w:rFonts w:ascii="Times New Roman" w:cs="Times New Roman" w:eastAsia="Times New Roman" w:hAnsi="Times New Roman"/>
          <w:color w:val="1B1B1B"/>
          <w:sz w:val="22"/>
          <w:szCs w:val="22"/>
        </w:rPr>
        <w:t xml:space="preserve">	10</w:t>
      </w:r>
    </w:p>
    <w:p>
      <w:pPr>
        <w:tabs>
          <w:tab w:val="right" w:pos="9026" w:leader="dot"/>
        </w:tabs>
        <w:spacing w:after="140"/>
      </w:pPr>
      <w:r>
        <w:rPr>
          <w:rFonts w:ascii="Times New Roman" w:cs="Times New Roman" w:eastAsia="Times New Roman" w:hAnsi="Times New Roman"/>
          <w:color w:val="1B1B1B"/>
          <w:sz w:val="22"/>
          <w:szCs w:val="22"/>
        </w:rPr>
        <w:t xml:space="preserve">12. Lessons Learned</w:t>
      </w:r>
      <w:r>
        <w:rPr>
          <w:rFonts w:ascii="Times New Roman" w:cs="Times New Roman" w:eastAsia="Times New Roman" w:hAnsi="Times New Roman"/>
          <w:color w:val="1B1B1B"/>
          <w:sz w:val="22"/>
          <w:szCs w:val="22"/>
        </w:rPr>
        <w:t xml:space="preserve">	11</w:t>
      </w:r>
    </w:p>
    <w:p>
      <w:pPr>
        <w:tabs>
          <w:tab w:val="right" w:pos="9026" w:leader="dot"/>
        </w:tabs>
        <w:spacing w:after="140"/>
      </w:pPr>
      <w:r>
        <w:rPr>
          <w:rFonts w:ascii="Times New Roman" w:cs="Times New Roman" w:eastAsia="Times New Roman" w:hAnsi="Times New Roman"/>
          <w:color w:val="1B1B1B"/>
          <w:sz w:val="22"/>
          <w:szCs w:val="22"/>
        </w:rPr>
        <w:t xml:space="preserve">13. Recommendations</w:t>
      </w:r>
      <w:r>
        <w:rPr>
          <w:rFonts w:ascii="Times New Roman" w:cs="Times New Roman" w:eastAsia="Times New Roman" w:hAnsi="Times New Roman"/>
          <w:color w:val="1B1B1B"/>
          <w:sz w:val="22"/>
          <w:szCs w:val="22"/>
        </w:rPr>
        <w:t xml:space="preserve">	11</w:t>
      </w:r>
    </w:p>
    <w:p>
      <w:pPr>
        <w:tabs>
          <w:tab w:val="right" w:pos="9026" w:leader="dot"/>
        </w:tabs>
        <w:spacing w:after="140"/>
      </w:pPr>
      <w:r>
        <w:rPr>
          <w:rFonts w:ascii="Times New Roman" w:cs="Times New Roman" w:eastAsia="Times New Roman" w:hAnsi="Times New Roman"/>
          <w:color w:val="1B1B1B"/>
          <w:sz w:val="22"/>
          <w:szCs w:val="22"/>
        </w:rPr>
        <w:t xml:space="preserve">Appendix A — Full KQL Query Pack</w:t>
      </w:r>
      <w:r>
        <w:rPr>
          <w:rFonts w:ascii="Times New Roman" w:cs="Times New Roman" w:eastAsia="Times New Roman" w:hAnsi="Times New Roman"/>
          <w:color w:val="1B1B1B"/>
          <w:sz w:val="22"/>
          <w:szCs w:val="22"/>
        </w:rPr>
        <w:t xml:space="preserve">	12</w:t>
      </w:r>
    </w:p>
    <w:p>
      <w:pPr>
        <w:tabs>
          <w:tab w:val="right" w:pos="9026" w:leader="dot"/>
        </w:tabs>
        <w:spacing w:after="140"/>
      </w:pPr>
      <w:r>
        <w:rPr>
          <w:rFonts w:ascii="Times New Roman" w:cs="Times New Roman" w:eastAsia="Times New Roman" w:hAnsi="Times New Roman"/>
          <w:color w:val="1B1B1B"/>
          <w:sz w:val="22"/>
          <w:szCs w:val="22"/>
        </w:rPr>
        <w:t xml:space="preserve">Appendix B — Population Lists</w:t>
      </w:r>
      <w:r>
        <w:rPr>
          <w:rFonts w:ascii="Times New Roman" w:cs="Times New Roman" w:eastAsia="Times New Roman" w:hAnsi="Times New Roman"/>
          <w:color w:val="1B1B1B"/>
          <w:sz w:val="22"/>
          <w:szCs w:val="22"/>
        </w:rPr>
        <w:t xml:space="preserve">	14</w:t>
      </w:r>
    </w:p>
    <w:p>
      <w:pPr>
        <w:tabs>
          <w:tab w:val="right" w:pos="9026" w:leader="dot"/>
        </w:tabs>
        <w:spacing w:after="140"/>
      </w:pPr>
      <w:r>
        <w:rPr>
          <w:rFonts w:ascii="Times New Roman" w:cs="Times New Roman" w:eastAsia="Times New Roman" w:hAnsi="Times New Roman"/>
          <w:color w:val="1B1B1B"/>
          <w:sz w:val="22"/>
          <w:szCs w:val="22"/>
        </w:rPr>
        <w:t xml:space="preserve">Appendix C — User Communications Drafts</w:t>
      </w:r>
      <w:r>
        <w:rPr>
          <w:rFonts w:ascii="Times New Roman" w:cs="Times New Roman" w:eastAsia="Times New Roman" w:hAnsi="Times New Roman"/>
          <w:color w:val="1B1B1B"/>
          <w:sz w:val="22"/>
          <w:szCs w:val="22"/>
        </w:rPr>
        <w:t xml:space="preserve">	15</w:t>
      </w:r>
    </w:p>
    <w:p>
      <w:pPr>
        <w:tabs>
          <w:tab w:val="right" w:pos="9026" w:leader="dot"/>
        </w:tabs>
        <w:spacing w:after="140"/>
      </w:pPr>
      <w:r>
        <w:rPr>
          <w:rFonts w:ascii="Times New Roman" w:cs="Times New Roman" w:eastAsia="Times New Roman" w:hAnsi="Times New Roman"/>
          <w:color w:val="1B1B1B"/>
          <w:sz w:val="22"/>
          <w:szCs w:val="22"/>
        </w:rPr>
        <w:t xml:space="preserve">References</w:t>
      </w:r>
      <w:r>
        <w:rPr>
          <w:rFonts w:ascii="Times New Roman" w:cs="Times New Roman" w:eastAsia="Times New Roman" w:hAnsi="Times New Roman"/>
          <w:color w:val="1B1B1B"/>
          <w:sz w:val="22"/>
          <w:szCs w:val="22"/>
        </w:rPr>
        <w:t xml:space="preserve">	15</w:t>
      </w:r>
    </w:p>
    <w:p>
      <w:r>
        <w:br w:type="page"/>
      </w:r>
    </w:p>
    <w:p>
      <w:pPr>
        <w:sectPr>
          <w:pgSz w:w="11906" w:h="16838" w:orient="portrait"/>
          <w:pgMar w:top="1350" w:right="1200" w:bottom="1350" w:left="1200" w:header="708" w:footer="708" w:gutter="0"/>
          <w:pgNumType/>
          <w:docGrid w:linePitch="360"/>
        </w:sectPr>
      </w:pPr>
    </w:p>
    <w:p>
      <w:pPr>
        <w:pStyle w:val="Heading1"/>
        <w:pBdr>
          <w:bottom w:val="single" w:color="1F3864" w:sz="6" w:space="4"/>
        </w:pBdr>
        <w:spacing w:after="200" w:before="480"/>
      </w:pPr>
      <w:r>
        <w:rPr>
          <w:rFonts w:ascii="Times New Roman" w:cs="Times New Roman" w:eastAsia="Times New Roman" w:hAnsi="Times New Roman"/>
          <w:b/>
          <w:bCs/>
          <w:color w:val="1F3864"/>
          <w:sz w:val="30"/>
          <w:szCs w:val="30"/>
        </w:rPr>
        <w:t xml:space="preserve">1. Executive Summary</w:t>
      </w:r>
    </w:p>
    <w:p>
      <w:pPr>
        <w:spacing w:after="160" w:line="276"/>
        <w:jc w:val="both"/>
      </w:pPr>
      <w:r>
        <w:rPr>
          <w:rFonts w:ascii="Times New Roman" w:cs="Times New Roman" w:eastAsia="Times New Roman" w:hAnsi="Times New Roman"/>
          <w:color w:val="404040"/>
          <w:sz w:val="22"/>
          <w:szCs w:val="22"/>
        </w:rPr>
        <w:t xml:space="preserve">On 25 August 2026, an external attacker sent a payroll-themed phishing campaign to 40 Cloudora staff, impersonating Cloudora HR and asking recipients to ‘confirm their payroll details’ on a lookalike website. This report documents the resulting investigation into the reported email, Exchange Online message-trace data, and Microsoft Entra ID sign-in logs, the confirmed compromises, containment actions, and recommendations arising from ticket CLD-0002.</w:t>
      </w:r>
    </w:p>
    <w:p>
      <w:pPr>
        <w:spacing w:after="160" w:line="276"/>
        <w:jc w:val="both"/>
      </w:pPr>
      <w:r>
        <w:rPr>
          <w:rFonts w:ascii="Times New Roman" w:cs="Times New Roman" w:eastAsia="Times New Roman" w:hAnsi="Times New Roman"/>
          <w:color w:val="404040"/>
          <w:sz w:val="22"/>
          <w:szCs w:val="22"/>
        </w:rPr>
        <w:t xml:space="preserve">The campaign used two message variants. Variant A forged the genuine payroll@cloudora.io address and failed SPF, DKIM and DMARC outright. Variant B was sent from the attacker's own lookalike domain, cloudora-hr-portal.example, and passed all three authentication checks — for that lookalike domain, not for Cloudora. Of 40 targeted staff, 36 received the email in their inbox (4 were fully protected by Exchange Online Protection quarantine), 6 clicked the link, and 2 entered their credentials.</w:t>
      </w:r>
    </w:p>
    <w:p>
      <w:pPr>
        <w:spacing w:after="160" w:line="276"/>
        <w:jc w:val="both"/>
      </w:pPr>
      <w:r>
        <w:rPr>
          <w:rFonts w:ascii="Times New Roman" w:cs="Times New Roman" w:eastAsia="Times New Roman" w:hAnsi="Times New Roman"/>
          <w:color w:val="404040"/>
          <w:sz w:val="22"/>
          <w:szCs w:val="22"/>
        </w:rPr>
        <w:t xml:space="preserve">Both compromised accounts — freya.lynn@cloudora.io and ryan.boyd@cloudora.io — were signed into the same afternoon from an IP address in Amsterdam, Netherlands, on a device neither had used before, confirming the attacker used the harvested passwords to log in. The compromise was caught the same morning after a staff member forwarded the email to the SOC. Both accounts were contained, the attacker's infrastructure was blocked, and the phishing messages were purged from remaining mailboxes. A marketing newsletter reported alongside the phish was investigated and confirmed legitimate. No evidence of fraudulent payment or data exfiltration was found in the available log data.</w:t>
      </w:r>
    </w:p>
    <w:tbl>
      <w:tblPr>
        <w:tblW w:type="pct" w:w="100%"/>
        <w:tblBorders>
          <w:top w:val="single" w:color="1F3864" w:sz="6"/>
          <w:left w:val="single" w:color="1F3864" w:sz="6"/>
          <w:bottom w:val="single" w:color="1F3864" w:sz="6"/>
          <w:right w:val="single" w:color="1F3864" w:sz="6"/>
          <w:insideH w:val="none" w:color="FFFFFF" w:sz="0"/>
          <w:insideV w:val="none" w:color="FFFFFF" w:sz="0"/>
        </w:tblBorders>
      </w:tblPr>
      <w:tblGrid>
        <w:gridCol w:w="100"/>
      </w:tblGrid>
      <w:tr>
        <w:tc>
          <w:tcPr>
            <w:tcW w:type="pct" w:w="100%"/>
            <w:shd w:fill="DCE6F1" w:val="clear"/>
            <w:tcMar>
              <w:top w:type="dxa" w:w="160"/>
              <w:left w:type="dxa" w:w="200"/>
              <w:bottom w:type="dxa" w:w="160"/>
              <w:right w:type="dxa" w:w="200"/>
            </w:tcMar>
          </w:tcPr>
          <w:p>
            <w:pPr>
              <w:spacing w:after="80"/>
            </w:pPr>
            <w:r>
              <w:rPr>
                <w:rFonts w:ascii="Times New Roman" w:cs="Times New Roman" w:eastAsia="Times New Roman" w:hAnsi="Times New Roman"/>
                <w:b/>
                <w:bCs/>
                <w:color w:val="1F3864"/>
                <w:sz w:val="22"/>
                <w:szCs w:val="22"/>
              </w:rPr>
              <w:t xml:space="preserve">Headline findings</w:t>
            </w:r>
          </w:p>
          <w:p>
            <w:pPr>
              <w:spacing w:after="40"/>
            </w:pPr>
            <w:r>
              <w:rPr>
                <w:rFonts w:ascii="Times New Roman" w:cs="Times New Roman" w:eastAsia="Times New Roman" w:hAnsi="Times New Roman"/>
                <w:color w:val="404040"/>
                <w:sz w:val="21"/>
                <w:szCs w:val="21"/>
              </w:rPr>
              <w:t xml:space="preserve">2 accounts confirmed compromised: freya.lynn@cloudora.io and ryan.boyd@cloudora.io, both via first-try successful sign-ins from attacker infrastructure — no failed attempts, unlike a password-spray compromise.</w:t>
            </w:r>
          </w:p>
          <w:p>
            <w:pPr>
              <w:spacing w:after="40"/>
            </w:pPr>
            <w:r>
              <w:rPr>
                <w:rFonts w:ascii="Times New Roman" w:cs="Times New Roman" w:eastAsia="Times New Roman" w:hAnsi="Times New Roman"/>
                <w:color w:val="404040"/>
                <w:sz w:val="21"/>
                <w:szCs w:val="21"/>
              </w:rPr>
              <w:t xml:space="preserve">40 staff targeted; 36 received the phish, 6 clicked, 2 submitted credentials, 4 were fully protected by Exchange Online Protection.</w:t>
            </w:r>
          </w:p>
          <w:p>
            <w:pPr>
              <w:spacing w:after="40"/>
            </w:pPr>
            <w:r>
              <w:rPr>
                <w:rFonts w:ascii="Times New Roman" w:cs="Times New Roman" w:eastAsia="Times New Roman" w:hAnsi="Times New Roman"/>
                <w:color w:val="404040"/>
                <w:sz w:val="21"/>
                <w:szCs w:val="21"/>
              </w:rPr>
              <w:t xml:space="preserve">The campaign used a fail-authentication spoof (Variant A) and a pass-authentication lookalike domain (Variant B) — passing SPF/DKIM/DMARC does not mean an email is safe.</w:t>
            </w:r>
          </w:p>
          <w:p>
            <w:pPr>
              <w:spacing w:after="40"/>
            </w:pPr>
            <w:r>
              <w:rPr>
                <w:rFonts w:ascii="Times New Roman" w:cs="Times New Roman" w:eastAsia="Times New Roman" w:hAnsi="Times New Roman"/>
                <w:color w:val="404040"/>
                <w:sz w:val="21"/>
                <w:szCs w:val="21"/>
              </w:rPr>
              <w:t xml:space="preserve">A reported Mailchimp newsletter was investigated and cleared as a genuine Cloudora send, correctly separated from the two malicious variants.</w:t>
            </w:r>
          </w:p>
          <w:p>
            <w:pPr>
              <w:spacing w:after="40"/>
            </w:pPr>
            <w:r>
              <w:rPr>
                <w:rFonts w:ascii="Times New Roman" w:cs="Times New Roman" w:eastAsia="Times New Roman" w:hAnsi="Times New Roman"/>
                <w:color w:val="404040"/>
                <w:sz w:val="21"/>
                <w:szCs w:val="21"/>
              </w:rPr>
              <w:t xml:space="preserve">Both accounts contained, attacker infrastructure blocked, and no further attacker activity observed after containment.</w:t>
            </w:r>
          </w:p>
        </w:tc>
      </w:tr>
    </w:tbl>
    <w:p>
      <w:pPr>
        <w:pStyle w:val="Heading1"/>
        <w:pBdr>
          <w:bottom w:val="single" w:color="1F3864" w:sz="6" w:space="4"/>
        </w:pBdr>
        <w:spacing w:after="200" w:before="480"/>
      </w:pPr>
      <w:r>
        <w:rPr>
          <w:rFonts w:ascii="Times New Roman" w:cs="Times New Roman" w:eastAsia="Times New Roman" w:hAnsi="Times New Roman"/>
          <w:b/>
          <w:bCs/>
          <w:color w:val="1F3864"/>
          <w:sz w:val="30"/>
          <w:szCs w:val="30"/>
        </w:rPr>
        <w:t xml:space="preserve">2. Incident Overview</w:t>
      </w:r>
    </w:p>
    <w:p>
      <w:pPr>
        <w:pStyle w:val="Heading2"/>
        <w:spacing w:after="140" w:before="320"/>
      </w:pPr>
      <w:r>
        <w:rPr>
          <w:rFonts w:ascii="Times New Roman" w:cs="Times New Roman" w:eastAsia="Times New Roman" w:hAnsi="Times New Roman"/>
          <w:b/>
          <w:bCs/>
          <w:color w:val="1F3864"/>
          <w:sz w:val="25"/>
          <w:szCs w:val="25"/>
        </w:rPr>
        <w:t xml:space="preserve">2.1 Classification</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2688"/>
        <w:gridCol w:w="6912"/>
      </w:tblGrid>
      <w:tr>
        <w:trPr>
          <w:tblHeader/>
        </w:trPr>
        <w:tc>
          <w:tcPr>
            <w:tcW w:type="pct" w:w="28%"/>
            <w:tcBorders>
              <w:top w:val="single" w:color="1F3864" w:sz="4"/>
              <w:left w:val="single" w:color="1F3864" w:sz="4"/>
              <w:bottom w:val="single" w:color="1F3864" w:sz="4"/>
              <w:right w:val="single" w:color="1F3864" w:sz="4"/>
            </w:tcBorders>
            <w:shd w:fill="1F3864" w:val="clear"/>
            <w:tcMar>
              <w:top w:type="dxa" w:w="90"/>
              <w:left w:type="dxa" w:w="110"/>
              <w:bottom w:type="dxa" w:w="90"/>
              <w:right w:type="dxa" w:w="110"/>
            </w:tcMar>
            <w:vAlign w:val="center"/>
          </w:tcPr>
          <w:p>
            <w:r>
              <w:rPr>
                <w:rFonts w:ascii="Times New Roman" w:cs="Times New Roman" w:eastAsia="Times New Roman" w:hAnsi="Times New Roman"/>
                <w:b/>
                <w:bCs/>
                <w:color w:val="FFFFFF"/>
                <w:sz w:val="19"/>
                <w:szCs w:val="19"/>
              </w:rPr>
              <w:t xml:space="preserve">Field</w:t>
            </w:r>
          </w:p>
        </w:tc>
        <w:tc>
          <w:tcPr>
            <w:tcW w:type="pct" w:w="72%"/>
            <w:tcBorders>
              <w:top w:val="single" w:color="1F3864" w:sz="4"/>
              <w:left w:val="single" w:color="1F3864" w:sz="4"/>
              <w:bottom w:val="single" w:color="1F3864" w:sz="4"/>
              <w:right w:val="single" w:color="1F3864" w:sz="4"/>
            </w:tcBorders>
            <w:shd w:fill="1F3864" w:val="clear"/>
            <w:tcMar>
              <w:top w:type="dxa" w:w="90"/>
              <w:left w:type="dxa" w:w="110"/>
              <w:bottom w:type="dxa" w:w="90"/>
              <w:right w:type="dxa" w:w="110"/>
            </w:tcMar>
            <w:vAlign w:val="center"/>
          </w:tcPr>
          <w:p>
            <w:r>
              <w:rPr>
                <w:rFonts w:ascii="Times New Roman" w:cs="Times New Roman" w:eastAsia="Times New Roman" w:hAnsi="Times New Roman"/>
                <w:b/>
                <w:bCs/>
                <w:color w:val="FFFFFF"/>
                <w:sz w:val="19"/>
                <w:szCs w:val="19"/>
              </w:rPr>
              <w:t xml:space="preserve">Detail</w:t>
            </w:r>
          </w:p>
        </w:tc>
      </w:tr>
      <w:tr>
        <w:tc>
          <w:tcPr>
            <w:tcW w:type="pct" w:w="28%"/>
            <w:tcBorders>
              <w:top w:val="single" w:color="BFBFBF" w:sz="4"/>
              <w:left w:val="single" w:color="BFBFBF" w:sz="4"/>
              <w:bottom w:val="single" w:color="BFBFBF" w:sz="4"/>
              <w:right w:val="single" w:color="BFBFBF" w:sz="4"/>
            </w:tcBorders>
            <w:shd w:fill="FFFFFF" w:val="clear"/>
            <w:tcMar>
              <w:top w:type="dxa" w:w="80"/>
              <w:left w:type="dxa" w:w="110"/>
              <w:bottom w:type="dxa" w:w="80"/>
              <w:right w:type="dxa" w:w="110"/>
            </w:tcMar>
            <w:vAlign w:val="center"/>
          </w:tcPr>
          <w:p>
            <w:r>
              <w:rPr>
                <w:rFonts w:ascii="Times New Roman" w:cs="Times New Roman" w:eastAsia="Times New Roman" w:hAnsi="Times New Roman"/>
                <w:b w:val="false"/>
                <w:bCs w:val="false"/>
                <w:color w:val="404040"/>
                <w:sz w:val="19"/>
                <w:szCs w:val="19"/>
              </w:rPr>
              <w:t xml:space="preserve">Incident type</w:t>
            </w:r>
          </w:p>
        </w:tc>
        <w:tc>
          <w:tcPr>
            <w:tcW w:type="pct" w:w="72%"/>
            <w:tcBorders>
              <w:top w:val="single" w:color="BFBFBF" w:sz="4"/>
              <w:left w:val="single" w:color="BFBFBF" w:sz="4"/>
              <w:bottom w:val="single" w:color="BFBFBF" w:sz="4"/>
              <w:right w:val="single" w:color="BFBFBF" w:sz="4"/>
            </w:tcBorders>
            <w:shd w:fill="FFFFFF" w:val="clear"/>
            <w:tcMar>
              <w:top w:type="dxa" w:w="80"/>
              <w:left w:type="dxa" w:w="110"/>
              <w:bottom w:type="dxa" w:w="80"/>
              <w:right w:type="dxa" w:w="110"/>
            </w:tcMar>
            <w:vAlign w:val="center"/>
          </w:tcPr>
          <w:p>
            <w:r>
              <w:rPr>
                <w:rFonts w:ascii="Times New Roman" w:cs="Times New Roman" w:eastAsia="Times New Roman" w:hAnsi="Times New Roman"/>
                <w:b w:val="false"/>
                <w:bCs w:val="false"/>
                <w:color w:val="404040"/>
                <w:sz w:val="19"/>
                <w:szCs w:val="19"/>
              </w:rPr>
              <w:t xml:space="preserve">Credential phishing — payroll-themed campaign leading to account compromise</w:t>
            </w:r>
          </w:p>
        </w:tc>
      </w:tr>
      <w:tr>
        <w:tc>
          <w:tcPr>
            <w:tcW w:type="pct" w:w="28%"/>
            <w:tcBorders>
              <w:top w:val="single" w:color="BFBFBF" w:sz="4"/>
              <w:left w:val="single" w:color="BFBFBF" w:sz="4"/>
              <w:bottom w:val="single" w:color="BFBFBF" w:sz="4"/>
              <w:right w:val="single" w:color="BFBFBF" w:sz="4"/>
            </w:tcBorders>
            <w:shd w:fill="F7F9FC" w:val="clear"/>
            <w:tcMar>
              <w:top w:type="dxa" w:w="80"/>
              <w:left w:type="dxa" w:w="110"/>
              <w:bottom w:type="dxa" w:w="80"/>
              <w:right w:type="dxa" w:w="110"/>
            </w:tcMar>
            <w:vAlign w:val="center"/>
          </w:tcPr>
          <w:p>
            <w:r>
              <w:rPr>
                <w:rFonts w:ascii="Times New Roman" w:cs="Times New Roman" w:eastAsia="Times New Roman" w:hAnsi="Times New Roman"/>
                <w:b w:val="false"/>
                <w:bCs w:val="false"/>
                <w:color w:val="404040"/>
                <w:sz w:val="19"/>
                <w:szCs w:val="19"/>
              </w:rPr>
              <w:t xml:space="preserve">Related ticket</w:t>
            </w:r>
          </w:p>
        </w:tc>
        <w:tc>
          <w:tcPr>
            <w:tcW w:type="pct" w:w="72%"/>
            <w:tcBorders>
              <w:top w:val="single" w:color="BFBFBF" w:sz="4"/>
              <w:left w:val="single" w:color="BFBFBF" w:sz="4"/>
              <w:bottom w:val="single" w:color="BFBFBF" w:sz="4"/>
              <w:right w:val="single" w:color="BFBFBF" w:sz="4"/>
            </w:tcBorders>
            <w:shd w:fill="F7F9FC" w:val="clear"/>
            <w:tcMar>
              <w:top w:type="dxa" w:w="80"/>
              <w:left w:type="dxa" w:w="110"/>
              <w:bottom w:type="dxa" w:w="80"/>
              <w:right w:type="dxa" w:w="110"/>
            </w:tcMar>
            <w:vAlign w:val="center"/>
          </w:tcPr>
          <w:p>
            <w:r>
              <w:rPr>
                <w:rFonts w:ascii="Times New Roman" w:cs="Times New Roman" w:eastAsia="Times New Roman" w:hAnsi="Times New Roman"/>
                <w:b w:val="false"/>
                <w:bCs w:val="false"/>
                <w:color w:val="404040"/>
                <w:sz w:val="19"/>
                <w:szCs w:val="19"/>
              </w:rPr>
              <w:t xml:space="preserve">CLD-0002 — reported phishing email impersonating Cloudora HR</w:t>
            </w:r>
          </w:p>
        </w:tc>
      </w:tr>
      <w:tr>
        <w:tc>
          <w:tcPr>
            <w:tcW w:type="pct" w:w="28%"/>
            <w:tcBorders>
              <w:top w:val="single" w:color="BFBFBF" w:sz="4"/>
              <w:left w:val="single" w:color="BFBFBF" w:sz="4"/>
              <w:bottom w:val="single" w:color="BFBFBF" w:sz="4"/>
              <w:right w:val="single" w:color="BFBFBF" w:sz="4"/>
            </w:tcBorders>
            <w:shd w:fill="FFFFFF" w:val="clear"/>
            <w:tcMar>
              <w:top w:type="dxa" w:w="80"/>
              <w:left w:type="dxa" w:w="110"/>
              <w:bottom w:type="dxa" w:w="80"/>
              <w:right w:type="dxa" w:w="110"/>
            </w:tcMar>
            <w:vAlign w:val="center"/>
          </w:tcPr>
          <w:p>
            <w:r>
              <w:rPr>
                <w:rFonts w:ascii="Times New Roman" w:cs="Times New Roman" w:eastAsia="Times New Roman" w:hAnsi="Times New Roman"/>
                <w:b w:val="false"/>
                <w:bCs w:val="false"/>
                <w:color w:val="404040"/>
                <w:sz w:val="19"/>
                <w:szCs w:val="19"/>
              </w:rPr>
              <w:t xml:space="preserve">Severity</w:t>
            </w:r>
          </w:p>
        </w:tc>
        <w:tc>
          <w:tcPr>
            <w:tcW w:type="pct" w:w="72%"/>
            <w:tcBorders>
              <w:top w:val="single" w:color="BFBFBF" w:sz="4"/>
              <w:left w:val="single" w:color="BFBFBF" w:sz="4"/>
              <w:bottom w:val="single" w:color="BFBFBF" w:sz="4"/>
              <w:right w:val="single" w:color="BFBFBF" w:sz="4"/>
            </w:tcBorders>
            <w:shd w:fill="FFFFFF" w:val="clear"/>
            <w:tcMar>
              <w:top w:type="dxa" w:w="80"/>
              <w:left w:type="dxa" w:w="110"/>
              <w:bottom w:type="dxa" w:w="80"/>
              <w:right w:type="dxa" w:w="110"/>
            </w:tcMar>
            <w:vAlign w:val="center"/>
          </w:tcPr>
          <w:p>
            <w:r>
              <w:rPr>
                <w:rFonts w:ascii="Times New Roman" w:cs="Times New Roman" w:eastAsia="Times New Roman" w:hAnsi="Times New Roman"/>
                <w:b w:val="false"/>
                <w:bCs w:val="false"/>
                <w:color w:val="404040"/>
                <w:sz w:val="19"/>
                <w:szCs w:val="19"/>
              </w:rPr>
              <w:t xml:space="preserve">P1 — two staff accounts compromised, attacker actively signed in</w:t>
            </w:r>
          </w:p>
        </w:tc>
      </w:tr>
      <w:tr>
        <w:tc>
          <w:tcPr>
            <w:tcW w:type="pct" w:w="28%"/>
            <w:tcBorders>
              <w:top w:val="single" w:color="BFBFBF" w:sz="4"/>
              <w:left w:val="single" w:color="BFBFBF" w:sz="4"/>
              <w:bottom w:val="single" w:color="BFBFBF" w:sz="4"/>
              <w:right w:val="single" w:color="BFBFBF" w:sz="4"/>
            </w:tcBorders>
            <w:shd w:fill="F7F9FC" w:val="clear"/>
            <w:tcMar>
              <w:top w:type="dxa" w:w="80"/>
              <w:left w:type="dxa" w:w="110"/>
              <w:bottom w:type="dxa" w:w="80"/>
              <w:right w:type="dxa" w:w="110"/>
            </w:tcMar>
            <w:vAlign w:val="center"/>
          </w:tcPr>
          <w:p>
            <w:r>
              <w:rPr>
                <w:rFonts w:ascii="Times New Roman" w:cs="Times New Roman" w:eastAsia="Times New Roman" w:hAnsi="Times New Roman"/>
                <w:b w:val="false"/>
                <w:bCs w:val="false"/>
                <w:color w:val="404040"/>
                <w:sz w:val="19"/>
                <w:szCs w:val="19"/>
              </w:rPr>
              <w:t xml:space="preserve">Affected tenant</w:t>
            </w:r>
          </w:p>
        </w:tc>
        <w:tc>
          <w:tcPr>
            <w:tcW w:type="pct" w:w="72%"/>
            <w:tcBorders>
              <w:top w:val="single" w:color="BFBFBF" w:sz="4"/>
              <w:left w:val="single" w:color="BFBFBF" w:sz="4"/>
              <w:bottom w:val="single" w:color="BFBFBF" w:sz="4"/>
              <w:right w:val="single" w:color="BFBFBF" w:sz="4"/>
            </w:tcBorders>
            <w:shd w:fill="F7F9FC" w:val="clear"/>
            <w:tcMar>
              <w:top w:type="dxa" w:w="80"/>
              <w:left w:type="dxa" w:w="110"/>
              <w:bottom w:type="dxa" w:w="80"/>
              <w:right w:type="dxa" w:w="110"/>
            </w:tcMar>
            <w:vAlign w:val="center"/>
          </w:tcPr>
          <w:p>
            <w:r>
              <w:rPr>
                <w:rFonts w:ascii="Times New Roman" w:cs="Times New Roman" w:eastAsia="Times New Roman" w:hAnsi="Times New Roman"/>
                <w:b w:val="false"/>
                <w:bCs w:val="false"/>
                <w:color w:val="404040"/>
                <w:sz w:val="19"/>
                <w:szCs w:val="19"/>
              </w:rPr>
              <w:t xml:space="preserve">Cloudora (Microsoft 365 / Entra ID / Exchange Online)</w:t>
            </w:r>
          </w:p>
        </w:tc>
      </w:tr>
      <w:tr>
        <w:tc>
          <w:tcPr>
            <w:tcW w:type="pct" w:w="28%"/>
            <w:tcBorders>
              <w:top w:val="single" w:color="BFBFBF" w:sz="4"/>
              <w:left w:val="single" w:color="BFBFBF" w:sz="4"/>
              <w:bottom w:val="single" w:color="BFBFBF" w:sz="4"/>
              <w:right w:val="single" w:color="BFBFBF" w:sz="4"/>
            </w:tcBorders>
            <w:shd w:fill="FFFFFF" w:val="clear"/>
            <w:tcMar>
              <w:top w:type="dxa" w:w="80"/>
              <w:left w:type="dxa" w:w="110"/>
              <w:bottom w:type="dxa" w:w="80"/>
              <w:right w:type="dxa" w:w="110"/>
            </w:tcMar>
            <w:vAlign w:val="center"/>
          </w:tcPr>
          <w:p>
            <w:r>
              <w:rPr>
                <w:rFonts w:ascii="Times New Roman" w:cs="Times New Roman" w:eastAsia="Times New Roman" w:hAnsi="Times New Roman"/>
                <w:b w:val="false"/>
                <w:bCs w:val="false"/>
                <w:color w:val="404040"/>
                <w:sz w:val="19"/>
                <w:szCs w:val="19"/>
              </w:rPr>
              <w:t xml:space="preserve">Detection source</w:t>
            </w:r>
          </w:p>
        </w:tc>
        <w:tc>
          <w:tcPr>
            <w:tcW w:type="pct" w:w="72%"/>
            <w:tcBorders>
              <w:top w:val="single" w:color="BFBFBF" w:sz="4"/>
              <w:left w:val="single" w:color="BFBFBF" w:sz="4"/>
              <w:bottom w:val="single" w:color="BFBFBF" w:sz="4"/>
              <w:right w:val="single" w:color="BFBFBF" w:sz="4"/>
            </w:tcBorders>
            <w:shd w:fill="FFFFFF" w:val="clear"/>
            <w:tcMar>
              <w:top w:type="dxa" w:w="80"/>
              <w:left w:type="dxa" w:w="110"/>
              <w:bottom w:type="dxa" w:w="80"/>
              <w:right w:type="dxa" w:w="110"/>
            </w:tcMar>
            <w:vAlign w:val="center"/>
          </w:tcPr>
          <w:p>
            <w:r>
              <w:rPr>
                <w:rFonts w:ascii="Times New Roman" w:cs="Times New Roman" w:eastAsia="Times New Roman" w:hAnsi="Times New Roman"/>
                <w:b w:val="false"/>
                <w:bCs w:val="false"/>
                <w:color w:val="404040"/>
                <w:sz w:val="19"/>
                <w:szCs w:val="19"/>
              </w:rPr>
              <w:t xml:space="preserve">Staff report (James Holt forwarded the email to the SOC)</w:t>
            </w:r>
          </w:p>
        </w:tc>
      </w:tr>
      <w:tr>
        <w:tc>
          <w:tcPr>
            <w:tcW w:type="pct" w:w="28%"/>
            <w:tcBorders>
              <w:top w:val="single" w:color="BFBFBF" w:sz="4"/>
              <w:left w:val="single" w:color="BFBFBF" w:sz="4"/>
              <w:bottom w:val="single" w:color="BFBFBF" w:sz="4"/>
              <w:right w:val="single" w:color="BFBFBF" w:sz="4"/>
            </w:tcBorders>
            <w:shd w:fill="F7F9FC" w:val="clear"/>
            <w:tcMar>
              <w:top w:type="dxa" w:w="80"/>
              <w:left w:type="dxa" w:w="110"/>
              <w:bottom w:type="dxa" w:w="80"/>
              <w:right w:type="dxa" w:w="110"/>
            </w:tcMar>
            <w:vAlign w:val="center"/>
          </w:tcPr>
          <w:p>
            <w:r>
              <w:rPr>
                <w:rFonts w:ascii="Times New Roman" w:cs="Times New Roman" w:eastAsia="Times New Roman" w:hAnsi="Times New Roman"/>
                <w:b w:val="false"/>
                <w:bCs w:val="false"/>
                <w:color w:val="404040"/>
                <w:sz w:val="19"/>
                <w:szCs w:val="19"/>
              </w:rPr>
              <w:t xml:space="preserve">Reporting analyst</w:t>
            </w:r>
          </w:p>
        </w:tc>
        <w:tc>
          <w:tcPr>
            <w:tcW w:type="pct" w:w="72%"/>
            <w:tcBorders>
              <w:top w:val="single" w:color="BFBFBF" w:sz="4"/>
              <w:left w:val="single" w:color="BFBFBF" w:sz="4"/>
              <w:bottom w:val="single" w:color="BFBFBF" w:sz="4"/>
              <w:right w:val="single" w:color="BFBFBF" w:sz="4"/>
            </w:tcBorders>
            <w:shd w:fill="F7F9FC" w:val="clear"/>
            <w:tcMar>
              <w:top w:type="dxa" w:w="80"/>
              <w:left w:type="dxa" w:w="110"/>
              <w:bottom w:type="dxa" w:w="80"/>
              <w:right w:type="dxa" w:w="110"/>
            </w:tcMar>
            <w:vAlign w:val="center"/>
          </w:tcPr>
          <w:p>
            <w:r>
              <w:rPr>
                <w:rFonts w:ascii="Times New Roman" w:cs="Times New Roman" w:eastAsia="Times New Roman" w:hAnsi="Times New Roman"/>
                <w:b w:val="false"/>
                <w:bCs w:val="false"/>
                <w:color w:val="404040"/>
                <w:sz w:val="19"/>
                <w:szCs w:val="19"/>
              </w:rPr>
              <w:t xml:space="preserve">Sai Nithish Sampath</w:t>
            </w:r>
          </w:p>
        </w:tc>
      </w:tr>
      <w:tr>
        <w:tc>
          <w:tcPr>
            <w:tcW w:type="pct" w:w="28%"/>
            <w:tcBorders>
              <w:top w:val="single" w:color="BFBFBF" w:sz="4"/>
              <w:left w:val="single" w:color="BFBFBF" w:sz="4"/>
              <w:bottom w:val="single" w:color="BFBFBF" w:sz="4"/>
              <w:right w:val="single" w:color="BFBFBF" w:sz="4"/>
            </w:tcBorders>
            <w:shd w:fill="FFFFFF" w:val="clear"/>
            <w:tcMar>
              <w:top w:type="dxa" w:w="80"/>
              <w:left w:type="dxa" w:w="110"/>
              <w:bottom w:type="dxa" w:w="80"/>
              <w:right w:type="dxa" w:w="110"/>
            </w:tcMar>
            <w:vAlign w:val="center"/>
          </w:tcPr>
          <w:p>
            <w:r>
              <w:rPr>
                <w:rFonts w:ascii="Times New Roman" w:cs="Times New Roman" w:eastAsia="Times New Roman" w:hAnsi="Times New Roman"/>
                <w:b w:val="false"/>
                <w:bCs w:val="false"/>
                <w:color w:val="404040"/>
                <w:sz w:val="19"/>
                <w:szCs w:val="19"/>
              </w:rPr>
              <w:t xml:space="preserve">Data sources reviewed</w:t>
            </w:r>
          </w:p>
        </w:tc>
        <w:tc>
          <w:tcPr>
            <w:tcW w:type="pct" w:w="72%"/>
            <w:tcBorders>
              <w:top w:val="single" w:color="BFBFBF" w:sz="4"/>
              <w:left w:val="single" w:color="BFBFBF" w:sz="4"/>
              <w:bottom w:val="single" w:color="BFBFBF" w:sz="4"/>
              <w:right w:val="single" w:color="BFBFBF" w:sz="4"/>
            </w:tcBorders>
            <w:shd w:fill="FFFFFF" w:val="clear"/>
            <w:tcMar>
              <w:top w:type="dxa" w:w="80"/>
              <w:left w:type="dxa" w:w="110"/>
              <w:bottom w:type="dxa" w:w="80"/>
              <w:right w:type="dxa" w:w="110"/>
            </w:tcMar>
            <w:vAlign w:val="center"/>
          </w:tcPr>
          <w:p>
            <w:r>
              <w:rPr>
                <w:rFonts w:ascii="Times New Roman" w:cs="Times New Roman" w:eastAsia="Times New Roman" w:hAnsi="Times New Roman"/>
                <w:b w:val="false"/>
                <w:bCs w:val="false"/>
                <w:color w:val="404040"/>
                <w:sz w:val="19"/>
                <w:szCs w:val="19"/>
              </w:rPr>
              <w:t xml:space="preserve">6 reported .eml files, Exchange Online message trace (CloudoraMsgTrace_CL), Entra ID sign-in logs (CloudoraSignIn_CL)</w:t>
            </w:r>
          </w:p>
        </w:tc>
      </w:tr>
      <w:tr>
        <w:tc>
          <w:tcPr>
            <w:tcW w:type="pct" w:w="28%"/>
            <w:tcBorders>
              <w:top w:val="single" w:color="BFBFBF" w:sz="4"/>
              <w:left w:val="single" w:color="BFBFBF" w:sz="4"/>
              <w:bottom w:val="single" w:color="BFBFBF" w:sz="4"/>
              <w:right w:val="single" w:color="BFBFBF" w:sz="4"/>
            </w:tcBorders>
            <w:shd w:fill="F7F9FC" w:val="clear"/>
            <w:tcMar>
              <w:top w:type="dxa" w:w="80"/>
              <w:left w:type="dxa" w:w="110"/>
              <w:bottom w:type="dxa" w:w="80"/>
              <w:right w:type="dxa" w:w="110"/>
            </w:tcMar>
            <w:vAlign w:val="center"/>
          </w:tcPr>
          <w:p>
            <w:r>
              <w:rPr>
                <w:rFonts w:ascii="Times New Roman" w:cs="Times New Roman" w:eastAsia="Times New Roman" w:hAnsi="Times New Roman"/>
                <w:b w:val="false"/>
                <w:bCs w:val="false"/>
                <w:color w:val="404040"/>
                <w:sz w:val="19"/>
                <w:szCs w:val="19"/>
              </w:rPr>
              <w:t xml:space="preserve">Investigation window</w:t>
            </w:r>
          </w:p>
        </w:tc>
        <w:tc>
          <w:tcPr>
            <w:tcW w:type="pct" w:w="72%"/>
            <w:tcBorders>
              <w:top w:val="single" w:color="BFBFBF" w:sz="4"/>
              <w:left w:val="single" w:color="BFBFBF" w:sz="4"/>
              <w:bottom w:val="single" w:color="BFBFBF" w:sz="4"/>
              <w:right w:val="single" w:color="BFBFBF" w:sz="4"/>
            </w:tcBorders>
            <w:shd w:fill="F7F9FC" w:val="clear"/>
            <w:tcMar>
              <w:top w:type="dxa" w:w="80"/>
              <w:left w:type="dxa" w:w="110"/>
              <w:bottom w:type="dxa" w:w="80"/>
              <w:right w:type="dxa" w:w="110"/>
            </w:tcMar>
            <w:vAlign w:val="center"/>
          </w:tcPr>
          <w:p>
            <w:r>
              <w:rPr>
                <w:rFonts w:ascii="Times New Roman" w:cs="Times New Roman" w:eastAsia="Times New Roman" w:hAnsi="Times New Roman"/>
                <w:b w:val="false"/>
                <w:bCs w:val="false"/>
                <w:color w:val="404040"/>
                <w:sz w:val="19"/>
                <w:szCs w:val="19"/>
              </w:rPr>
              <w:t xml:space="preserve">25 August 2026 campaign and response; report issued 27 August 2026</w:t>
            </w:r>
          </w:p>
        </w:tc>
      </w:tr>
    </w:tbl>
    <w:p>
      <w:pPr>
        <w:pStyle w:val="Heading2"/>
        <w:spacing w:after="140" w:before="320"/>
      </w:pPr>
      <w:r>
        <w:rPr>
          <w:rFonts w:ascii="Times New Roman" w:cs="Times New Roman" w:eastAsia="Times New Roman" w:hAnsi="Times New Roman"/>
          <w:b/>
          <w:bCs/>
          <w:color w:val="1F3864"/>
          <w:sz w:val="25"/>
          <w:szCs w:val="25"/>
        </w:rPr>
        <w:t xml:space="preserve">2.2 Systems and Accounts in Scope</w:t>
      </w:r>
    </w:p>
    <w:p>
      <w:pPr>
        <w:spacing w:after="160" w:line="276"/>
        <w:jc w:val="both"/>
      </w:pPr>
      <w:r>
        <w:rPr>
          <w:rFonts w:ascii="Times New Roman" w:cs="Times New Roman" w:eastAsia="Times New Roman" w:hAnsi="Times New Roman"/>
          <w:color w:val="404040"/>
          <w:sz w:val="22"/>
          <w:szCs w:val="22"/>
        </w:rPr>
        <w:t xml:space="preserve">The investigation covered Cloudora's Exchange Online mail flow and the full Microsoft 365 / Entra ID tenant. Forty user accounts appear in the affected campaign; two were confirmed compromised, four clicked the link without entering credentials, thirty received the email without clicking, and four were fully protected by mail-gateway filtering.</w:t>
      </w:r>
    </w:p>
    <w:p>
      <w:pPr>
        <w:pStyle w:val="Heading1"/>
        <w:pBdr>
          <w:bottom w:val="single" w:color="1F3864" w:sz="6" w:space="4"/>
        </w:pBdr>
        <w:spacing w:after="200" w:before="480"/>
      </w:pPr>
      <w:r>
        <w:rPr>
          <w:rFonts w:ascii="Times New Roman" w:cs="Times New Roman" w:eastAsia="Times New Roman" w:hAnsi="Times New Roman"/>
          <w:b/>
          <w:bCs/>
          <w:color w:val="1F3864"/>
          <w:sz w:val="30"/>
          <w:szCs w:val="30"/>
        </w:rPr>
        <w:t xml:space="preserve">3. Investigation Methodology</w:t>
      </w:r>
    </w:p>
    <w:p>
      <w:pPr>
        <w:spacing w:after="160" w:line="276"/>
        <w:jc w:val="both"/>
      </w:pPr>
      <w:r>
        <w:rPr>
          <w:rFonts w:ascii="Times New Roman" w:cs="Times New Roman" w:eastAsia="Times New Roman" w:hAnsi="Times New Roman"/>
          <w:color w:val="404040"/>
          <w:sz w:val="22"/>
          <w:szCs w:val="22"/>
        </w:rPr>
        <w:t xml:space="preserve">This investigation ran in two halves. The first triaged the reported email itself, using header and authentication analysis — no log platform required. The second scoped the campaign across the tenant using KQL against two log tables (CloudoraMsgTrace_CL, CloudoraSignIn_CL) in Azure Data Explorer. All timestamps in this report are UTC.</w:t>
      </w:r>
    </w:p>
    <w:p>
      <w:pPr>
        <w:pStyle w:val="ListParagraph"/>
        <w:numPr>
          <w:ilvl w:val="0"/>
          <w:numId w:val="2"/>
        </w:numPr>
        <w:spacing w:after="90"/>
      </w:pPr>
      <w:r>
        <w:rPr>
          <w:rFonts w:ascii="Times New Roman" w:cs="Times New Roman" w:eastAsia="Times New Roman" w:hAnsi="Times New Roman"/>
          <w:b/>
          <w:bCs/>
          <w:color w:val="1B1B1B"/>
          <w:sz w:val="22"/>
          <w:szCs w:val="22"/>
        </w:rPr>
        <w:t xml:space="preserve">Triage the reported email — </w:t>
      </w:r>
      <w:r>
        <w:rPr>
          <w:rFonts w:ascii="Times New Roman" w:cs="Times New Roman" w:eastAsia="Times New Roman" w:hAnsi="Times New Roman"/>
          <w:color w:val="404040"/>
          <w:sz w:val="22"/>
          <w:szCs w:val="22"/>
        </w:rPr>
        <w:t xml:space="preserve">Open the forwarded and clean copies of the phish as raw text and read the headers — never in a mail client — starting with the From address, not the display name an attacker fully controls.</w:t>
      </w:r>
    </w:p>
    <w:p>
      <w:pPr>
        <w:pStyle w:val="ListParagraph"/>
        <w:numPr>
          <w:ilvl w:val="0"/>
          <w:numId w:val="2"/>
        </w:numPr>
        <w:spacing w:after="90"/>
      </w:pPr>
      <w:r>
        <w:rPr>
          <w:rFonts w:ascii="Times New Roman" w:cs="Times New Roman" w:eastAsia="Times New Roman" w:hAnsi="Times New Roman"/>
          <w:b/>
          <w:bCs/>
          <w:color w:val="1B1B1B"/>
          <w:sz w:val="22"/>
          <w:szCs w:val="22"/>
        </w:rPr>
        <w:t xml:space="preserve">Dissect authentication results — </w:t>
      </w:r>
      <w:r>
        <w:rPr>
          <w:rFonts w:ascii="Times New Roman" w:cs="Times New Roman" w:eastAsia="Times New Roman" w:hAnsi="Times New Roman"/>
          <w:color w:val="404040"/>
          <w:sz w:val="22"/>
          <w:szCs w:val="22"/>
        </w:rPr>
        <w:t xml:space="preserve">Read SPF, DKIM and DMARC verdicts, and the Received chain from the bottom up to find the true sending infrastructure.</w:t>
      </w:r>
    </w:p>
    <w:p>
      <w:pPr>
        <w:pStyle w:val="ListParagraph"/>
        <w:numPr>
          <w:ilvl w:val="0"/>
          <w:numId w:val="2"/>
        </w:numPr>
        <w:spacing w:after="90"/>
      </w:pPr>
      <w:r>
        <w:rPr>
          <w:rFonts w:ascii="Times New Roman" w:cs="Times New Roman" w:eastAsia="Times New Roman" w:hAnsi="Times New Roman"/>
          <w:b/>
          <w:bCs/>
          <w:color w:val="1B1B1B"/>
          <w:sz w:val="22"/>
          <w:szCs w:val="22"/>
        </w:rPr>
        <w:t xml:space="preserve">Analyse the URL and infrastructure — </w:t>
      </w:r>
      <w:r>
        <w:rPr>
          <w:rFonts w:ascii="Times New Roman" w:cs="Times New Roman" w:eastAsia="Times New Roman" w:hAnsi="Times New Roman"/>
          <w:color w:val="404040"/>
          <w:sz w:val="22"/>
          <w:szCs w:val="22"/>
        </w:rPr>
        <w:t xml:space="preserve">Read the actual link target, not the button text, and compare sending IPs across every reported copy to map the campaign's infrastructure.</w:t>
      </w:r>
    </w:p>
    <w:p>
      <w:pPr>
        <w:pStyle w:val="ListParagraph"/>
        <w:numPr>
          <w:ilvl w:val="0"/>
          <w:numId w:val="2"/>
        </w:numPr>
        <w:spacing w:after="90"/>
      </w:pPr>
      <w:r>
        <w:rPr>
          <w:rFonts w:ascii="Times New Roman" w:cs="Times New Roman" w:eastAsia="Times New Roman" w:hAnsi="Times New Roman"/>
          <w:b/>
          <w:bCs/>
          <w:color w:val="1B1B1B"/>
          <w:sz w:val="22"/>
          <w:szCs w:val="22"/>
        </w:rPr>
        <w:t xml:space="preserve">Enrich the indicators — </w:t>
      </w:r>
      <w:r>
        <w:rPr>
          <w:rFonts w:ascii="Times New Roman" w:cs="Times New Roman" w:eastAsia="Times New Roman" w:hAnsi="Times New Roman"/>
          <w:color w:val="404040"/>
          <w:sz w:val="22"/>
          <w:szCs w:val="22"/>
        </w:rPr>
        <w:t xml:space="preserve">Note what a VirusTotal / AbuseIPDB lookup on the domain and sending IPs would be expected to show, as corroborating — not primary — evidence.</w:t>
      </w:r>
    </w:p>
    <w:p>
      <w:pPr>
        <w:pStyle w:val="ListParagraph"/>
        <w:numPr>
          <w:ilvl w:val="0"/>
          <w:numId w:val="2"/>
        </w:numPr>
        <w:spacing w:after="90"/>
      </w:pPr>
      <w:r>
        <w:rPr>
          <w:rFonts w:ascii="Times New Roman" w:cs="Times New Roman" w:eastAsia="Times New Roman" w:hAnsi="Times New Roman"/>
          <w:b/>
          <w:bCs/>
          <w:color w:val="1B1B1B"/>
          <w:sz w:val="22"/>
          <w:szCs w:val="22"/>
        </w:rPr>
        <w:t xml:space="preserve">Verdict the false positive — </w:t>
      </w:r>
      <w:r>
        <w:rPr>
          <w:rFonts w:ascii="Times New Roman" w:cs="Times New Roman" w:eastAsia="Times New Roman" w:hAnsi="Times New Roman"/>
          <w:color w:val="404040"/>
          <w:sz w:val="22"/>
          <w:szCs w:val="22"/>
        </w:rPr>
        <w:t xml:space="preserve">Run the identical checklist against the reported newsletter, and show why it passes authentication for the genuine cloudora.io brand rather than a lookalike.</w:t>
      </w:r>
    </w:p>
    <w:p>
      <w:pPr>
        <w:pStyle w:val="ListParagraph"/>
        <w:numPr>
          <w:ilvl w:val="0"/>
          <w:numId w:val="2"/>
        </w:numPr>
        <w:spacing w:after="90"/>
      </w:pPr>
      <w:r>
        <w:rPr>
          <w:rFonts w:ascii="Times New Roman" w:cs="Times New Roman" w:eastAsia="Times New Roman" w:hAnsi="Times New Roman"/>
          <w:b/>
          <w:bCs/>
          <w:color w:val="1B1B1B"/>
          <w:sz w:val="22"/>
          <w:szCs w:val="22"/>
        </w:rPr>
        <w:t xml:space="preserve">Scope the campaign in KQL — </w:t>
      </w:r>
      <w:r>
        <w:rPr>
          <w:rFonts w:ascii="Times New Roman" w:cs="Times New Roman" w:eastAsia="Times New Roman" w:hAnsi="Times New Roman"/>
          <w:color w:val="404040"/>
          <w:sz w:val="22"/>
          <w:szCs w:val="22"/>
        </w:rPr>
        <w:t xml:space="preserve">Query message-trace data for delivery, quarantine, clicks and credential submissions across all 40 targeted accounts.</w:t>
      </w:r>
    </w:p>
    <w:p>
      <w:pPr>
        <w:pStyle w:val="ListParagraph"/>
        <w:numPr>
          <w:ilvl w:val="0"/>
          <w:numId w:val="2"/>
        </w:numPr>
        <w:spacing w:after="90"/>
      </w:pPr>
      <w:r>
        <w:rPr>
          <w:rFonts w:ascii="Times New Roman" w:cs="Times New Roman" w:eastAsia="Times New Roman" w:hAnsi="Times New Roman"/>
          <w:b/>
          <w:bCs/>
          <w:color w:val="1B1B1B"/>
          <w:sz w:val="22"/>
          <w:szCs w:val="22"/>
        </w:rPr>
        <w:t xml:space="preserve">Confirm compromise and pivot — </w:t>
      </w:r>
      <w:r>
        <w:rPr>
          <w:rFonts w:ascii="Times New Roman" w:cs="Times New Roman" w:eastAsia="Times New Roman" w:hAnsi="Times New Roman"/>
          <w:color w:val="404040"/>
          <w:sz w:val="22"/>
          <w:szCs w:val="22"/>
        </w:rPr>
        <w:t xml:space="preserve">Pull sign-ins for every credential submitter, then pivot on the attacker's login IP to confirm the full set of compromised accounts.</w:t>
      </w:r>
    </w:p>
    <w:p>
      <w:pPr>
        <w:pStyle w:val="ListParagraph"/>
        <w:numPr>
          <w:ilvl w:val="0"/>
          <w:numId w:val="2"/>
        </w:numPr>
        <w:spacing w:after="90"/>
      </w:pPr>
      <w:r>
        <w:rPr>
          <w:rFonts w:ascii="Times New Roman" w:cs="Times New Roman" w:eastAsia="Times New Roman" w:hAnsi="Times New Roman"/>
          <w:b/>
          <w:bCs/>
          <w:color w:val="1B1B1B"/>
          <w:sz w:val="22"/>
          <w:szCs w:val="22"/>
        </w:rPr>
        <w:t xml:space="preserve">Contain and verify — </w:t>
      </w:r>
      <w:r>
        <w:rPr>
          <w:rFonts w:ascii="Times New Roman" w:cs="Times New Roman" w:eastAsia="Times New Roman" w:hAnsi="Times New Roman"/>
          <w:color w:val="404040"/>
          <w:sz w:val="22"/>
          <w:szCs w:val="22"/>
        </w:rPr>
        <w:t xml:space="preserve">Execute containment on both accounts, then re-run the scoping and pivot queries to confirm no further attacker activity.</w:t>
      </w:r>
    </w:p>
    <w:p>
      <w:pPr>
        <w:pStyle w:val="Heading1"/>
        <w:pBdr>
          <w:bottom w:val="single" w:color="1F3864" w:sz="6" w:space="4"/>
        </w:pBdr>
        <w:spacing w:after="200" w:before="480"/>
      </w:pPr>
      <w:r>
        <w:rPr>
          <w:rFonts w:ascii="Times New Roman" w:cs="Times New Roman" w:eastAsia="Times New Roman" w:hAnsi="Times New Roman"/>
          <w:b/>
          <w:bCs/>
          <w:color w:val="1F3864"/>
          <w:sz w:val="30"/>
          <w:szCs w:val="30"/>
        </w:rPr>
        <w:t xml:space="preserve">4. Detailed Timeline</w:t>
      </w:r>
    </w:p>
    <w:p>
      <w:pPr>
        <w:spacing w:after="160" w:line="276"/>
        <w:jc w:val="both"/>
      </w:pPr>
      <w:r>
        <w:rPr>
          <w:rFonts w:ascii="Times New Roman" w:cs="Times New Roman" w:eastAsia="Times New Roman" w:hAnsi="Times New Roman"/>
          <w:color w:val="404040"/>
          <w:sz w:val="22"/>
          <w:szCs w:val="22"/>
        </w:rPr>
        <w:t xml:space="preserve">All times UTC, reconstructed from message-trace and sign-in log timestamps, and the reported .eml headers.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536"/>
        <w:gridCol w:w="5760"/>
        <w:gridCol w:w="2304"/>
      </w:tblGrid>
      <w:tr>
        <w:trPr>
          <w:tblHeader/>
        </w:trPr>
        <w:tc>
          <w:tcPr>
            <w:tcW w:type="pct" w:w="16%"/>
            <w:tcBorders>
              <w:top w:val="single" w:color="1F3864" w:sz="4"/>
              <w:left w:val="single" w:color="1F3864" w:sz="4"/>
              <w:bottom w:val="single" w:color="1F3864" w:sz="4"/>
              <w:right w:val="single" w:color="1F3864" w:sz="4"/>
            </w:tcBorders>
            <w:shd w:fill="1F3864" w:val="clear"/>
            <w:tcMar>
              <w:top w:type="dxa" w:w="90"/>
              <w:left w:type="dxa" w:w="110"/>
              <w:bottom w:type="dxa" w:w="90"/>
              <w:right w:type="dxa" w:w="110"/>
            </w:tcMar>
            <w:vAlign w:val="center"/>
          </w:tcPr>
          <w:p>
            <w:r>
              <w:rPr>
                <w:rFonts w:ascii="Times New Roman" w:cs="Times New Roman" w:eastAsia="Times New Roman" w:hAnsi="Times New Roman"/>
                <w:b/>
                <w:bCs/>
                <w:color w:val="FFFFFF"/>
                <w:sz w:val="19"/>
                <w:szCs w:val="19"/>
              </w:rPr>
              <w:t xml:space="preserve">Time (UTC)</w:t>
            </w:r>
          </w:p>
        </w:tc>
        <w:tc>
          <w:tcPr>
            <w:tcW w:type="pct" w:w="60%"/>
            <w:tcBorders>
              <w:top w:val="single" w:color="1F3864" w:sz="4"/>
              <w:left w:val="single" w:color="1F3864" w:sz="4"/>
              <w:bottom w:val="single" w:color="1F3864" w:sz="4"/>
              <w:right w:val="single" w:color="1F3864" w:sz="4"/>
            </w:tcBorders>
            <w:shd w:fill="1F3864" w:val="clear"/>
            <w:tcMar>
              <w:top w:type="dxa" w:w="90"/>
              <w:left w:type="dxa" w:w="110"/>
              <w:bottom w:type="dxa" w:w="90"/>
              <w:right w:type="dxa" w:w="110"/>
            </w:tcMar>
            <w:vAlign w:val="center"/>
          </w:tcPr>
          <w:p>
            <w:r>
              <w:rPr>
                <w:rFonts w:ascii="Times New Roman" w:cs="Times New Roman" w:eastAsia="Times New Roman" w:hAnsi="Times New Roman"/>
                <w:b/>
                <w:bCs/>
                <w:color w:val="FFFFFF"/>
                <w:sz w:val="19"/>
                <w:szCs w:val="19"/>
              </w:rPr>
              <w:t xml:space="preserve">Event</w:t>
            </w:r>
          </w:p>
        </w:tc>
        <w:tc>
          <w:tcPr>
            <w:tcW w:type="pct" w:w="24%"/>
            <w:tcBorders>
              <w:top w:val="single" w:color="1F3864" w:sz="4"/>
              <w:left w:val="single" w:color="1F3864" w:sz="4"/>
              <w:bottom w:val="single" w:color="1F3864" w:sz="4"/>
              <w:right w:val="single" w:color="1F3864" w:sz="4"/>
            </w:tcBorders>
            <w:shd w:fill="1F3864" w:val="clear"/>
            <w:tcMar>
              <w:top w:type="dxa" w:w="90"/>
              <w:left w:type="dxa" w:w="110"/>
              <w:bottom w:type="dxa" w:w="90"/>
              <w:right w:type="dxa" w:w="110"/>
            </w:tcMar>
            <w:vAlign w:val="center"/>
          </w:tcPr>
          <w:p>
            <w:r>
              <w:rPr>
                <w:rFonts w:ascii="Times New Roman" w:cs="Times New Roman" w:eastAsia="Times New Roman" w:hAnsi="Times New Roman"/>
                <w:b/>
                <w:bCs/>
                <w:color w:val="FFFFFF"/>
                <w:sz w:val="19"/>
                <w:szCs w:val="19"/>
              </w:rPr>
              <w:t xml:space="preserve">Source</w:t>
            </w:r>
          </w:p>
        </w:tc>
      </w:tr>
      <w:tr>
        <w:tc>
          <w:tcPr>
            <w:tcW w:type="pct" w:w="16%"/>
            <w:tcBorders>
              <w:top w:val="single" w:color="BFBFBF" w:sz="4"/>
              <w:left w:val="single" w:color="BFBFBF" w:sz="4"/>
              <w:bottom w:val="single" w:color="BFBFBF" w:sz="4"/>
              <w:right w:val="single" w:color="BFBFBF" w:sz="4"/>
            </w:tcBorders>
            <w:shd w:fill="FFFFFF" w:val="clear"/>
            <w:tcMar>
              <w:top w:type="dxa" w:w="80"/>
              <w:left w:type="dxa" w:w="110"/>
              <w:bottom w:type="dxa" w:w="80"/>
              <w:right w:type="dxa" w:w="110"/>
            </w:tcMar>
            <w:vAlign w:val="center"/>
          </w:tcPr>
          <w:p>
            <w:r>
              <w:rPr>
                <w:rFonts w:ascii="Times New Roman" w:cs="Times New Roman" w:eastAsia="Times New Roman" w:hAnsi="Times New Roman"/>
                <w:b w:val="false"/>
                <w:bCs w:val="false"/>
                <w:color w:val="404040"/>
                <w:sz w:val="19"/>
                <w:szCs w:val="19"/>
              </w:rPr>
              <w:t xml:space="preserve">06:58</w:t>
            </w:r>
          </w:p>
        </w:tc>
        <w:tc>
          <w:tcPr>
            <w:tcW w:type="pct" w:w="60%"/>
            <w:tcBorders>
              <w:top w:val="single" w:color="BFBFBF" w:sz="4"/>
              <w:left w:val="single" w:color="BFBFBF" w:sz="4"/>
              <w:bottom w:val="single" w:color="BFBFBF" w:sz="4"/>
              <w:right w:val="single" w:color="BFBFBF" w:sz="4"/>
            </w:tcBorders>
            <w:shd w:fill="FFFFFF" w:val="clear"/>
            <w:tcMar>
              <w:top w:type="dxa" w:w="80"/>
              <w:left w:type="dxa" w:w="110"/>
              <w:bottom w:type="dxa" w:w="80"/>
              <w:right w:type="dxa" w:w="110"/>
            </w:tcMar>
            <w:vAlign w:val="center"/>
          </w:tcPr>
          <w:p>
            <w:r>
              <w:rPr>
                <w:rFonts w:ascii="Times New Roman" w:cs="Times New Roman" w:eastAsia="Times New Roman" w:hAnsi="Times New Roman"/>
                <w:b w:val="false"/>
                <w:bCs w:val="false"/>
                <w:color w:val="404040"/>
                <w:sz w:val="19"/>
                <w:szCs w:val="19"/>
              </w:rPr>
              <w:t xml:space="preserve">Legitimate Cloudora newsletter delivered via Mailchimp (later reported alongside the phish, cleared as false positive)</w:t>
            </w:r>
          </w:p>
        </w:tc>
        <w:tc>
          <w:tcPr>
            <w:tcW w:type="pct" w:w="24%"/>
            <w:tcBorders>
              <w:top w:val="single" w:color="BFBFBF" w:sz="4"/>
              <w:left w:val="single" w:color="BFBFBF" w:sz="4"/>
              <w:bottom w:val="single" w:color="BFBFBF" w:sz="4"/>
              <w:right w:val="single" w:color="BFBFBF" w:sz="4"/>
            </w:tcBorders>
            <w:shd w:fill="FFFFFF" w:val="clear"/>
            <w:tcMar>
              <w:top w:type="dxa" w:w="80"/>
              <w:left w:type="dxa" w:w="110"/>
              <w:bottom w:type="dxa" w:w="80"/>
              <w:right w:type="dxa" w:w="110"/>
            </w:tcMar>
            <w:vAlign w:val="center"/>
          </w:tcPr>
          <w:p>
            <w:r>
              <w:rPr>
                <w:rFonts w:ascii="Times New Roman" w:cs="Times New Roman" w:eastAsia="Times New Roman" w:hAnsi="Times New Roman"/>
                <w:b w:val="false"/>
                <w:bCs w:val="false"/>
                <w:color w:val="404040"/>
                <w:sz w:val="19"/>
                <w:szCs w:val="19"/>
              </w:rPr>
              <w:t xml:space="preserve">Msg trace</w:t>
            </w:r>
          </w:p>
        </w:tc>
      </w:tr>
      <w:tr>
        <w:tc>
          <w:tcPr>
            <w:tcW w:type="pct" w:w="16%"/>
            <w:tcBorders>
              <w:top w:val="single" w:color="BFBFBF" w:sz="4"/>
              <w:left w:val="single" w:color="BFBFBF" w:sz="4"/>
              <w:bottom w:val="single" w:color="BFBFBF" w:sz="4"/>
              <w:right w:val="single" w:color="BFBFBF" w:sz="4"/>
            </w:tcBorders>
            <w:shd w:fill="F7F9FC" w:val="clear"/>
            <w:tcMar>
              <w:top w:type="dxa" w:w="80"/>
              <w:left w:type="dxa" w:w="110"/>
              <w:bottom w:type="dxa" w:w="80"/>
              <w:right w:type="dxa" w:w="110"/>
            </w:tcMar>
            <w:vAlign w:val="center"/>
          </w:tcPr>
          <w:p>
            <w:r>
              <w:rPr>
                <w:rFonts w:ascii="Times New Roman" w:cs="Times New Roman" w:eastAsia="Times New Roman" w:hAnsi="Times New Roman"/>
                <w:b w:val="false"/>
                <w:bCs w:val="false"/>
                <w:color w:val="404040"/>
                <w:sz w:val="19"/>
                <w:szCs w:val="19"/>
              </w:rPr>
              <w:t xml:space="preserve">07:54 – 08:20</w:t>
            </w:r>
          </w:p>
        </w:tc>
        <w:tc>
          <w:tcPr>
            <w:tcW w:type="pct" w:w="60%"/>
            <w:tcBorders>
              <w:top w:val="single" w:color="BFBFBF" w:sz="4"/>
              <w:left w:val="single" w:color="BFBFBF" w:sz="4"/>
              <w:bottom w:val="single" w:color="BFBFBF" w:sz="4"/>
              <w:right w:val="single" w:color="BFBFBF" w:sz="4"/>
            </w:tcBorders>
            <w:shd w:fill="F7F9FC" w:val="clear"/>
            <w:tcMar>
              <w:top w:type="dxa" w:w="80"/>
              <w:left w:type="dxa" w:w="110"/>
              <w:bottom w:type="dxa" w:w="80"/>
              <w:right w:type="dxa" w:w="110"/>
            </w:tcMar>
            <w:vAlign w:val="center"/>
          </w:tcPr>
          <w:p>
            <w:r>
              <w:rPr>
                <w:rFonts w:ascii="Times New Roman" w:cs="Times New Roman" w:eastAsia="Times New Roman" w:hAnsi="Times New Roman"/>
                <w:b w:val="false"/>
                <w:bCs w:val="false"/>
                <w:color w:val="404040"/>
                <w:sz w:val="19"/>
                <w:szCs w:val="19"/>
              </w:rPr>
              <w:t xml:space="preserve">Variant A, wave 1, sent from 198.18.44.10 spoofing payroll@cloudora.io; SPF/DKIM/DMARC fail; some copies quarantined by EOP, some delivered</w:t>
            </w:r>
          </w:p>
        </w:tc>
        <w:tc>
          <w:tcPr>
            <w:tcW w:type="pct" w:w="24%"/>
            <w:tcBorders>
              <w:top w:val="single" w:color="BFBFBF" w:sz="4"/>
              <w:left w:val="single" w:color="BFBFBF" w:sz="4"/>
              <w:bottom w:val="single" w:color="BFBFBF" w:sz="4"/>
              <w:right w:val="single" w:color="BFBFBF" w:sz="4"/>
            </w:tcBorders>
            <w:shd w:fill="F7F9FC" w:val="clear"/>
            <w:tcMar>
              <w:top w:type="dxa" w:w="80"/>
              <w:left w:type="dxa" w:w="110"/>
              <w:bottom w:type="dxa" w:w="80"/>
              <w:right w:type="dxa" w:w="110"/>
            </w:tcMar>
            <w:vAlign w:val="center"/>
          </w:tcPr>
          <w:p>
            <w:r>
              <w:rPr>
                <w:rFonts w:ascii="Times New Roman" w:cs="Times New Roman" w:eastAsia="Times New Roman" w:hAnsi="Times New Roman"/>
                <w:b w:val="false"/>
                <w:bCs w:val="false"/>
                <w:color w:val="404040"/>
                <w:sz w:val="19"/>
                <w:szCs w:val="19"/>
              </w:rPr>
              <w:t xml:space="preserve">Msg trace</w:t>
            </w:r>
          </w:p>
        </w:tc>
      </w:tr>
      <w:tr>
        <w:tc>
          <w:tcPr>
            <w:tcW w:type="pct" w:w="16%"/>
            <w:tcBorders>
              <w:top w:val="single" w:color="BFBFBF" w:sz="4"/>
              <w:left w:val="single" w:color="BFBFBF" w:sz="4"/>
              <w:bottom w:val="single" w:color="BFBFBF" w:sz="4"/>
              <w:right w:val="single" w:color="BFBFBF" w:sz="4"/>
            </w:tcBorders>
            <w:shd w:fill="FFFFFF" w:val="clear"/>
            <w:tcMar>
              <w:top w:type="dxa" w:w="80"/>
              <w:left w:type="dxa" w:w="110"/>
              <w:bottom w:type="dxa" w:w="80"/>
              <w:right w:type="dxa" w:w="110"/>
            </w:tcMar>
            <w:vAlign w:val="center"/>
          </w:tcPr>
          <w:p>
            <w:r>
              <w:rPr>
                <w:rFonts w:ascii="Times New Roman" w:cs="Times New Roman" w:eastAsia="Times New Roman" w:hAnsi="Times New Roman"/>
                <w:b w:val="false"/>
                <w:bCs w:val="false"/>
                <w:color w:val="404040"/>
                <w:sz w:val="19"/>
                <w:szCs w:val="19"/>
              </w:rPr>
              <w:t xml:space="preserve">08:35 – 08:50</w:t>
            </w:r>
          </w:p>
        </w:tc>
        <w:tc>
          <w:tcPr>
            <w:tcW w:type="pct" w:w="60%"/>
            <w:tcBorders>
              <w:top w:val="single" w:color="BFBFBF" w:sz="4"/>
              <w:left w:val="single" w:color="BFBFBF" w:sz="4"/>
              <w:bottom w:val="single" w:color="BFBFBF" w:sz="4"/>
              <w:right w:val="single" w:color="BFBFBF" w:sz="4"/>
            </w:tcBorders>
            <w:shd w:fill="FFFFFF" w:val="clear"/>
            <w:tcMar>
              <w:top w:type="dxa" w:w="80"/>
              <w:left w:type="dxa" w:w="110"/>
              <w:bottom w:type="dxa" w:w="80"/>
              <w:right w:type="dxa" w:w="110"/>
            </w:tcMar>
            <w:vAlign w:val="center"/>
          </w:tcPr>
          <w:p>
            <w:r>
              <w:rPr>
                <w:rFonts w:ascii="Times New Roman" w:cs="Times New Roman" w:eastAsia="Times New Roman" w:hAnsi="Times New Roman"/>
                <w:b w:val="false"/>
                <w:bCs w:val="false"/>
                <w:color w:val="404040"/>
                <w:sz w:val="19"/>
                <w:szCs w:val="19"/>
              </w:rPr>
              <w:t xml:space="preserve">Variant A wave 2 from 198.18.44.23, and Variant B from 198.18.51.7 using lookalike domain cloudora-hr-portal.example (auth passes for the fake domain)</w:t>
            </w:r>
          </w:p>
        </w:tc>
        <w:tc>
          <w:tcPr>
            <w:tcW w:type="pct" w:w="24%"/>
            <w:tcBorders>
              <w:top w:val="single" w:color="BFBFBF" w:sz="4"/>
              <w:left w:val="single" w:color="BFBFBF" w:sz="4"/>
              <w:bottom w:val="single" w:color="BFBFBF" w:sz="4"/>
              <w:right w:val="single" w:color="BFBFBF" w:sz="4"/>
            </w:tcBorders>
            <w:shd w:fill="FFFFFF" w:val="clear"/>
            <w:tcMar>
              <w:top w:type="dxa" w:w="80"/>
              <w:left w:type="dxa" w:w="110"/>
              <w:bottom w:type="dxa" w:w="80"/>
              <w:right w:type="dxa" w:w="110"/>
            </w:tcMar>
            <w:vAlign w:val="center"/>
          </w:tcPr>
          <w:p>
            <w:r>
              <w:rPr>
                <w:rFonts w:ascii="Times New Roman" w:cs="Times New Roman" w:eastAsia="Times New Roman" w:hAnsi="Times New Roman"/>
                <w:b w:val="false"/>
                <w:bCs w:val="false"/>
                <w:color w:val="404040"/>
                <w:sz w:val="19"/>
                <w:szCs w:val="19"/>
              </w:rPr>
              <w:t xml:space="preserve">Msg trace</w:t>
            </w:r>
          </w:p>
        </w:tc>
      </w:tr>
      <w:tr>
        <w:tc>
          <w:tcPr>
            <w:tcW w:type="pct" w:w="16%"/>
            <w:tcBorders>
              <w:top w:val="single" w:color="BFBFBF" w:sz="4"/>
              <w:left w:val="single" w:color="BFBFBF" w:sz="4"/>
              <w:bottom w:val="single" w:color="BFBFBF" w:sz="4"/>
              <w:right w:val="single" w:color="BFBFBF" w:sz="4"/>
            </w:tcBorders>
            <w:shd w:fill="F7F9FC" w:val="clear"/>
            <w:tcMar>
              <w:top w:type="dxa" w:w="80"/>
              <w:left w:type="dxa" w:w="110"/>
              <w:bottom w:type="dxa" w:w="80"/>
              <w:right w:type="dxa" w:w="110"/>
            </w:tcMar>
            <w:vAlign w:val="center"/>
          </w:tcPr>
          <w:p>
            <w:r>
              <w:rPr>
                <w:rFonts w:ascii="Times New Roman" w:cs="Times New Roman" w:eastAsia="Times New Roman" w:hAnsi="Times New Roman"/>
                <w:b w:val="false"/>
                <w:bCs w:val="false"/>
                <w:color w:val="404040"/>
                <w:sz w:val="19"/>
                <w:szCs w:val="19"/>
              </w:rPr>
              <w:t xml:space="preserve">08:39:03</w:t>
            </w:r>
          </w:p>
        </w:tc>
        <w:tc>
          <w:tcPr>
            <w:tcW w:type="pct" w:w="60%"/>
            <w:tcBorders>
              <w:top w:val="single" w:color="BFBFBF" w:sz="4"/>
              <w:left w:val="single" w:color="BFBFBF" w:sz="4"/>
              <w:bottom w:val="single" w:color="BFBFBF" w:sz="4"/>
              <w:right w:val="single" w:color="BFBFBF" w:sz="4"/>
            </w:tcBorders>
            <w:shd w:fill="F7F9FC" w:val="clear"/>
            <w:tcMar>
              <w:top w:type="dxa" w:w="80"/>
              <w:left w:type="dxa" w:w="110"/>
              <w:bottom w:type="dxa" w:w="80"/>
              <w:right w:type="dxa" w:w="110"/>
            </w:tcMar>
            <w:vAlign w:val="center"/>
          </w:tcPr>
          <w:p>
            <w:r>
              <w:rPr>
                <w:rFonts w:ascii="Times New Roman" w:cs="Times New Roman" w:eastAsia="Times New Roman" w:hAnsi="Times New Roman"/>
                <w:b w:val="false"/>
                <w:bCs w:val="false"/>
                <w:color w:val="404040"/>
                <w:sz w:val="19"/>
                <w:szCs w:val="19"/>
              </w:rPr>
              <w:t xml:space="preserve">seth.lane clicks the Variant A link; credentials not submitted</w:t>
            </w:r>
          </w:p>
        </w:tc>
        <w:tc>
          <w:tcPr>
            <w:tcW w:type="pct" w:w="24%"/>
            <w:tcBorders>
              <w:top w:val="single" w:color="BFBFBF" w:sz="4"/>
              <w:left w:val="single" w:color="BFBFBF" w:sz="4"/>
              <w:bottom w:val="single" w:color="BFBFBF" w:sz="4"/>
              <w:right w:val="single" w:color="BFBFBF" w:sz="4"/>
            </w:tcBorders>
            <w:shd w:fill="F7F9FC" w:val="clear"/>
            <w:tcMar>
              <w:top w:type="dxa" w:w="80"/>
              <w:left w:type="dxa" w:w="110"/>
              <w:bottom w:type="dxa" w:w="80"/>
              <w:right w:type="dxa" w:w="110"/>
            </w:tcMar>
            <w:vAlign w:val="center"/>
          </w:tcPr>
          <w:p>
            <w:r>
              <w:rPr>
                <w:rFonts w:ascii="Times New Roman" w:cs="Times New Roman" w:eastAsia="Times New Roman" w:hAnsi="Times New Roman"/>
                <w:b w:val="false"/>
                <w:bCs w:val="false"/>
                <w:color w:val="404040"/>
                <w:sz w:val="19"/>
                <w:szCs w:val="19"/>
              </w:rPr>
              <w:t xml:space="preserve">Msg trace</w:t>
            </w:r>
          </w:p>
        </w:tc>
      </w:tr>
      <w:tr>
        <w:tc>
          <w:tcPr>
            <w:tcW w:type="pct" w:w="16%"/>
            <w:tcBorders>
              <w:top w:val="single" w:color="BFBFBF" w:sz="4"/>
              <w:left w:val="single" w:color="BFBFBF" w:sz="4"/>
              <w:bottom w:val="single" w:color="BFBFBF" w:sz="4"/>
              <w:right w:val="single" w:color="BFBFBF" w:sz="4"/>
            </w:tcBorders>
            <w:shd w:fill="FFFFFF" w:val="clear"/>
            <w:tcMar>
              <w:top w:type="dxa" w:w="80"/>
              <w:left w:type="dxa" w:w="110"/>
              <w:bottom w:type="dxa" w:w="80"/>
              <w:right w:type="dxa" w:w="110"/>
            </w:tcMar>
            <w:vAlign w:val="center"/>
          </w:tcPr>
          <w:p>
            <w:r>
              <w:rPr>
                <w:rFonts w:ascii="Times New Roman" w:cs="Times New Roman" w:eastAsia="Times New Roman" w:hAnsi="Times New Roman"/>
                <w:b w:val="false"/>
                <w:bCs w:val="false"/>
                <w:color w:val="404040"/>
                <w:sz w:val="19"/>
                <w:szCs w:val="19"/>
              </w:rPr>
              <w:t xml:space="preserve">08:47:12</w:t>
            </w:r>
          </w:p>
        </w:tc>
        <w:tc>
          <w:tcPr>
            <w:tcW w:type="pct" w:w="60%"/>
            <w:tcBorders>
              <w:top w:val="single" w:color="BFBFBF" w:sz="4"/>
              <w:left w:val="single" w:color="BFBFBF" w:sz="4"/>
              <w:bottom w:val="single" w:color="BFBFBF" w:sz="4"/>
              <w:right w:val="single" w:color="BFBFBF" w:sz="4"/>
            </w:tcBorders>
            <w:shd w:fill="FFFFFF" w:val="clear"/>
            <w:tcMar>
              <w:top w:type="dxa" w:w="80"/>
              <w:left w:type="dxa" w:w="110"/>
              <w:bottom w:type="dxa" w:w="80"/>
              <w:right w:type="dxa" w:w="110"/>
            </w:tcMar>
            <w:vAlign w:val="center"/>
          </w:tcPr>
          <w:p>
            <w:r>
              <w:rPr>
                <w:rFonts w:ascii="Times New Roman" w:cs="Times New Roman" w:eastAsia="Times New Roman" w:hAnsi="Times New Roman"/>
                <w:b w:val="false"/>
                <w:bCs w:val="false"/>
                <w:color w:val="404040"/>
                <w:sz w:val="19"/>
                <w:szCs w:val="19"/>
              </w:rPr>
              <w:t xml:space="preserve">freya.lynn clicks Variant A and SUBMITS credentials</w:t>
            </w:r>
          </w:p>
        </w:tc>
        <w:tc>
          <w:tcPr>
            <w:tcW w:type="pct" w:w="24%"/>
            <w:tcBorders>
              <w:top w:val="single" w:color="BFBFBF" w:sz="4"/>
              <w:left w:val="single" w:color="BFBFBF" w:sz="4"/>
              <w:bottom w:val="single" w:color="BFBFBF" w:sz="4"/>
              <w:right w:val="single" w:color="BFBFBF" w:sz="4"/>
            </w:tcBorders>
            <w:shd w:fill="FFFFFF" w:val="clear"/>
            <w:tcMar>
              <w:top w:type="dxa" w:w="80"/>
              <w:left w:type="dxa" w:w="110"/>
              <w:bottom w:type="dxa" w:w="80"/>
              <w:right w:type="dxa" w:w="110"/>
            </w:tcMar>
            <w:vAlign w:val="center"/>
          </w:tcPr>
          <w:p>
            <w:r>
              <w:rPr>
                <w:rFonts w:ascii="Times New Roman" w:cs="Times New Roman" w:eastAsia="Times New Roman" w:hAnsi="Times New Roman"/>
                <w:b w:val="false"/>
                <w:bCs w:val="false"/>
                <w:color w:val="404040"/>
                <w:sz w:val="19"/>
                <w:szCs w:val="19"/>
              </w:rPr>
              <w:t xml:space="preserve">Msg trace</w:t>
            </w:r>
          </w:p>
        </w:tc>
      </w:tr>
      <w:tr>
        <w:tc>
          <w:tcPr>
            <w:tcW w:type="pct" w:w="16%"/>
            <w:tcBorders>
              <w:top w:val="single" w:color="BFBFBF" w:sz="4"/>
              <w:left w:val="single" w:color="BFBFBF" w:sz="4"/>
              <w:bottom w:val="single" w:color="BFBFBF" w:sz="4"/>
              <w:right w:val="single" w:color="BFBFBF" w:sz="4"/>
            </w:tcBorders>
            <w:shd w:fill="F7F9FC" w:val="clear"/>
            <w:tcMar>
              <w:top w:type="dxa" w:w="80"/>
              <w:left w:type="dxa" w:w="110"/>
              <w:bottom w:type="dxa" w:w="80"/>
              <w:right w:type="dxa" w:w="110"/>
            </w:tcMar>
            <w:vAlign w:val="center"/>
          </w:tcPr>
          <w:p>
            <w:r>
              <w:rPr>
                <w:rFonts w:ascii="Times New Roman" w:cs="Times New Roman" w:eastAsia="Times New Roman" w:hAnsi="Times New Roman"/>
                <w:b w:val="false"/>
                <w:bCs w:val="false"/>
                <w:color w:val="404040"/>
                <w:sz w:val="19"/>
                <w:szCs w:val="19"/>
              </w:rPr>
              <w:t xml:space="preserve">09:05:44</w:t>
            </w:r>
          </w:p>
        </w:tc>
        <w:tc>
          <w:tcPr>
            <w:tcW w:type="pct" w:w="60%"/>
            <w:tcBorders>
              <w:top w:val="single" w:color="BFBFBF" w:sz="4"/>
              <w:left w:val="single" w:color="BFBFBF" w:sz="4"/>
              <w:bottom w:val="single" w:color="BFBFBF" w:sz="4"/>
              <w:right w:val="single" w:color="BFBFBF" w:sz="4"/>
            </w:tcBorders>
            <w:shd w:fill="F7F9FC" w:val="clear"/>
            <w:tcMar>
              <w:top w:type="dxa" w:w="80"/>
              <w:left w:type="dxa" w:w="110"/>
              <w:bottom w:type="dxa" w:w="80"/>
              <w:right w:type="dxa" w:w="110"/>
            </w:tcMar>
            <w:vAlign w:val="center"/>
          </w:tcPr>
          <w:p>
            <w:r>
              <w:rPr>
                <w:rFonts w:ascii="Times New Roman" w:cs="Times New Roman" w:eastAsia="Times New Roman" w:hAnsi="Times New Roman"/>
                <w:b w:val="false"/>
                <w:bCs w:val="false"/>
                <w:color w:val="404040"/>
                <w:sz w:val="19"/>
                <w:szCs w:val="19"/>
              </w:rPr>
              <w:t xml:space="preserve">ryan.boyd clicks Variant B and SUBMITS credentials</w:t>
            </w:r>
          </w:p>
        </w:tc>
        <w:tc>
          <w:tcPr>
            <w:tcW w:type="pct" w:w="24%"/>
            <w:tcBorders>
              <w:top w:val="single" w:color="BFBFBF" w:sz="4"/>
              <w:left w:val="single" w:color="BFBFBF" w:sz="4"/>
              <w:bottom w:val="single" w:color="BFBFBF" w:sz="4"/>
              <w:right w:val="single" w:color="BFBFBF" w:sz="4"/>
            </w:tcBorders>
            <w:shd w:fill="F7F9FC" w:val="clear"/>
            <w:tcMar>
              <w:top w:type="dxa" w:w="80"/>
              <w:left w:type="dxa" w:w="110"/>
              <w:bottom w:type="dxa" w:w="80"/>
              <w:right w:type="dxa" w:w="110"/>
            </w:tcMar>
            <w:vAlign w:val="center"/>
          </w:tcPr>
          <w:p>
            <w:r>
              <w:rPr>
                <w:rFonts w:ascii="Times New Roman" w:cs="Times New Roman" w:eastAsia="Times New Roman" w:hAnsi="Times New Roman"/>
                <w:b w:val="false"/>
                <w:bCs w:val="false"/>
                <w:color w:val="404040"/>
                <w:sz w:val="19"/>
                <w:szCs w:val="19"/>
              </w:rPr>
              <w:t xml:space="preserve">Msg trace</w:t>
            </w:r>
          </w:p>
        </w:tc>
      </w:tr>
      <w:tr>
        <w:tc>
          <w:tcPr>
            <w:tcW w:type="pct" w:w="16%"/>
            <w:tcBorders>
              <w:top w:val="single" w:color="BFBFBF" w:sz="4"/>
              <w:left w:val="single" w:color="BFBFBF" w:sz="4"/>
              <w:bottom w:val="single" w:color="BFBFBF" w:sz="4"/>
              <w:right w:val="single" w:color="BFBFBF" w:sz="4"/>
            </w:tcBorders>
            <w:shd w:fill="FFFFFF" w:val="clear"/>
            <w:tcMar>
              <w:top w:type="dxa" w:w="80"/>
              <w:left w:type="dxa" w:w="110"/>
              <w:bottom w:type="dxa" w:w="80"/>
              <w:right w:type="dxa" w:w="110"/>
            </w:tcMar>
            <w:vAlign w:val="center"/>
          </w:tcPr>
          <w:p>
            <w:r>
              <w:rPr>
                <w:rFonts w:ascii="Times New Roman" w:cs="Times New Roman" w:eastAsia="Times New Roman" w:hAnsi="Times New Roman"/>
                <w:b w:val="false"/>
                <w:bCs w:val="false"/>
                <w:color w:val="404040"/>
                <w:sz w:val="19"/>
                <w:szCs w:val="19"/>
              </w:rPr>
              <w:t xml:space="preserve">09:11</w:t>
            </w:r>
          </w:p>
        </w:tc>
        <w:tc>
          <w:tcPr>
            <w:tcW w:type="pct" w:w="60%"/>
            <w:tcBorders>
              <w:top w:val="single" w:color="BFBFBF" w:sz="4"/>
              <w:left w:val="single" w:color="BFBFBF" w:sz="4"/>
              <w:bottom w:val="single" w:color="BFBFBF" w:sz="4"/>
              <w:right w:val="single" w:color="BFBFBF" w:sz="4"/>
            </w:tcBorders>
            <w:shd w:fill="FFFFFF" w:val="clear"/>
            <w:tcMar>
              <w:top w:type="dxa" w:w="80"/>
              <w:left w:type="dxa" w:w="110"/>
              <w:bottom w:type="dxa" w:w="80"/>
              <w:right w:type="dxa" w:w="110"/>
            </w:tcMar>
            <w:vAlign w:val="center"/>
          </w:tcPr>
          <w:p>
            <w:r>
              <w:rPr>
                <w:rFonts w:ascii="Times New Roman" w:cs="Times New Roman" w:eastAsia="Times New Roman" w:hAnsi="Times New Roman"/>
                <w:b w:val="false"/>
                <w:bCs w:val="false"/>
                <w:color w:val="404040"/>
                <w:sz w:val="19"/>
                <w:szCs w:val="19"/>
              </w:rPr>
              <w:t xml:space="preserve">james.holt forwards the phish to the SOC; ticket CLD-0002 raised, investigation starts</w:t>
            </w:r>
          </w:p>
        </w:tc>
        <w:tc>
          <w:tcPr>
            <w:tcW w:type="pct" w:w="24%"/>
            <w:tcBorders>
              <w:top w:val="single" w:color="BFBFBF" w:sz="4"/>
              <w:left w:val="single" w:color="BFBFBF" w:sz="4"/>
              <w:bottom w:val="single" w:color="BFBFBF" w:sz="4"/>
              <w:right w:val="single" w:color="BFBFBF" w:sz="4"/>
            </w:tcBorders>
            <w:shd w:fill="FFFFFF" w:val="clear"/>
            <w:tcMar>
              <w:top w:type="dxa" w:w="80"/>
              <w:left w:type="dxa" w:w="110"/>
              <w:bottom w:type="dxa" w:w="80"/>
              <w:right w:type="dxa" w:w="110"/>
            </w:tcMar>
            <w:vAlign w:val="center"/>
          </w:tcPr>
          <w:p>
            <w:r>
              <w:rPr>
                <w:rFonts w:ascii="Times New Roman" w:cs="Times New Roman" w:eastAsia="Times New Roman" w:hAnsi="Times New Roman"/>
                <w:b w:val="false"/>
                <w:bCs w:val="false"/>
                <w:color w:val="404040"/>
                <w:sz w:val="19"/>
                <w:szCs w:val="19"/>
              </w:rPr>
              <w:t xml:space="preserve">Ticket</w:t>
            </w:r>
          </w:p>
        </w:tc>
      </w:tr>
      <w:tr>
        <w:tc>
          <w:tcPr>
            <w:tcW w:type="pct" w:w="16%"/>
            <w:tcBorders>
              <w:top w:val="single" w:color="BFBFBF" w:sz="4"/>
              <w:left w:val="single" w:color="BFBFBF" w:sz="4"/>
              <w:bottom w:val="single" w:color="BFBFBF" w:sz="4"/>
              <w:right w:val="single" w:color="BFBFBF" w:sz="4"/>
            </w:tcBorders>
            <w:shd w:fill="F7F9FC" w:val="clear"/>
            <w:tcMar>
              <w:top w:type="dxa" w:w="80"/>
              <w:left w:type="dxa" w:w="110"/>
              <w:bottom w:type="dxa" w:w="80"/>
              <w:right w:type="dxa" w:w="110"/>
            </w:tcMar>
            <w:vAlign w:val="center"/>
          </w:tcPr>
          <w:p>
            <w:r>
              <w:rPr>
                <w:rFonts w:ascii="Times New Roman" w:cs="Times New Roman" w:eastAsia="Times New Roman" w:hAnsi="Times New Roman"/>
                <w:b w:val="false"/>
                <w:bCs w:val="false"/>
                <w:color w:val="404040"/>
                <w:sz w:val="19"/>
                <w:szCs w:val="19"/>
              </w:rPr>
              <w:t xml:space="preserve">09:58 / 10:12 / 11:47</w:t>
            </w:r>
          </w:p>
        </w:tc>
        <w:tc>
          <w:tcPr>
            <w:tcW w:type="pct" w:w="60%"/>
            <w:tcBorders>
              <w:top w:val="single" w:color="BFBFBF" w:sz="4"/>
              <w:left w:val="single" w:color="BFBFBF" w:sz="4"/>
              <w:bottom w:val="single" w:color="BFBFBF" w:sz="4"/>
              <w:right w:val="single" w:color="BFBFBF" w:sz="4"/>
            </w:tcBorders>
            <w:shd w:fill="F7F9FC" w:val="clear"/>
            <w:tcMar>
              <w:top w:type="dxa" w:w="80"/>
              <w:left w:type="dxa" w:w="110"/>
              <w:bottom w:type="dxa" w:w="80"/>
              <w:right w:type="dxa" w:w="110"/>
            </w:tcMar>
            <w:vAlign w:val="center"/>
          </w:tcPr>
          <w:p>
            <w:r>
              <w:rPr>
                <w:rFonts w:ascii="Times New Roman" w:cs="Times New Roman" w:eastAsia="Times New Roman" w:hAnsi="Times New Roman"/>
                <w:b w:val="false"/>
                <w:bCs w:val="false"/>
                <w:color w:val="404040"/>
                <w:sz w:val="19"/>
                <w:szCs w:val="19"/>
              </w:rPr>
              <w:t xml:space="preserve">hugo.marsh, chloe.price and dina.said click the link; none submit credentials</w:t>
            </w:r>
          </w:p>
        </w:tc>
        <w:tc>
          <w:tcPr>
            <w:tcW w:type="pct" w:w="24%"/>
            <w:tcBorders>
              <w:top w:val="single" w:color="BFBFBF" w:sz="4"/>
              <w:left w:val="single" w:color="BFBFBF" w:sz="4"/>
              <w:bottom w:val="single" w:color="BFBFBF" w:sz="4"/>
              <w:right w:val="single" w:color="BFBFBF" w:sz="4"/>
            </w:tcBorders>
            <w:shd w:fill="F7F9FC" w:val="clear"/>
            <w:tcMar>
              <w:top w:type="dxa" w:w="80"/>
              <w:left w:type="dxa" w:w="110"/>
              <w:bottom w:type="dxa" w:w="80"/>
              <w:right w:type="dxa" w:w="110"/>
            </w:tcMar>
            <w:vAlign w:val="center"/>
          </w:tcPr>
          <w:p>
            <w:r>
              <w:rPr>
                <w:rFonts w:ascii="Times New Roman" w:cs="Times New Roman" w:eastAsia="Times New Roman" w:hAnsi="Times New Roman"/>
                <w:b w:val="false"/>
                <w:bCs w:val="false"/>
                <w:color w:val="404040"/>
                <w:sz w:val="19"/>
                <w:szCs w:val="19"/>
              </w:rPr>
              <w:t xml:space="preserve">Msg trace</w:t>
            </w:r>
          </w:p>
        </w:tc>
      </w:tr>
      <w:tr>
        <w:tc>
          <w:tcPr>
            <w:tcW w:type="pct" w:w="16%"/>
            <w:tcBorders>
              <w:top w:val="single" w:color="BFBFBF" w:sz="4"/>
              <w:left w:val="single" w:color="BFBFBF" w:sz="4"/>
              <w:bottom w:val="single" w:color="BFBFBF" w:sz="4"/>
              <w:right w:val="single" w:color="BFBFBF" w:sz="4"/>
            </w:tcBorders>
            <w:shd w:fill="FFFFFF" w:val="clear"/>
            <w:tcMar>
              <w:top w:type="dxa" w:w="80"/>
              <w:left w:type="dxa" w:w="110"/>
              <w:bottom w:type="dxa" w:w="80"/>
              <w:right w:type="dxa" w:w="110"/>
            </w:tcMar>
            <w:vAlign w:val="center"/>
          </w:tcPr>
          <w:p>
            <w:r>
              <w:rPr>
                <w:rFonts w:ascii="Times New Roman" w:cs="Times New Roman" w:eastAsia="Times New Roman" w:hAnsi="Times New Roman"/>
                <w:b w:val="false"/>
                <w:bCs w:val="false"/>
                <w:color w:val="404040"/>
                <w:sz w:val="19"/>
                <w:szCs w:val="19"/>
              </w:rPr>
              <w:t xml:space="preserve">10:34:20</w:t>
            </w:r>
          </w:p>
        </w:tc>
        <w:tc>
          <w:tcPr>
            <w:tcW w:type="pct" w:w="60%"/>
            <w:tcBorders>
              <w:top w:val="single" w:color="BFBFBF" w:sz="4"/>
              <w:left w:val="single" w:color="BFBFBF" w:sz="4"/>
              <w:bottom w:val="single" w:color="BFBFBF" w:sz="4"/>
              <w:right w:val="single" w:color="BFBFBF" w:sz="4"/>
            </w:tcBorders>
            <w:shd w:fill="FFFFFF" w:val="clear"/>
            <w:tcMar>
              <w:top w:type="dxa" w:w="80"/>
              <w:left w:type="dxa" w:w="110"/>
              <w:bottom w:type="dxa" w:w="80"/>
              <w:right w:type="dxa" w:w="110"/>
            </w:tcMar>
            <w:vAlign w:val="center"/>
          </w:tcPr>
          <w:p>
            <w:r>
              <w:rPr>
                <w:rFonts w:ascii="Times New Roman" w:cs="Times New Roman" w:eastAsia="Times New Roman" w:hAnsi="Times New Roman"/>
                <w:b w:val="false"/>
                <w:bCs w:val="false"/>
                <w:color w:val="404040"/>
                <w:sz w:val="19"/>
                <w:szCs w:val="19"/>
              </w:rPr>
              <w:t xml:space="preserve">Attacker signs in as freya.lynn from 198.18.7.200 (Amsterdam, NL) on Windows 11 / Chrome — harvested credential used; Outlook Web 10:36, SharePoint 10:41</w:t>
            </w:r>
          </w:p>
        </w:tc>
        <w:tc>
          <w:tcPr>
            <w:tcW w:type="pct" w:w="24%"/>
            <w:tcBorders>
              <w:top w:val="single" w:color="BFBFBF" w:sz="4"/>
              <w:left w:val="single" w:color="BFBFBF" w:sz="4"/>
              <w:bottom w:val="single" w:color="BFBFBF" w:sz="4"/>
              <w:right w:val="single" w:color="BFBFBF" w:sz="4"/>
            </w:tcBorders>
            <w:shd w:fill="FFFFFF" w:val="clear"/>
            <w:tcMar>
              <w:top w:type="dxa" w:w="80"/>
              <w:left w:type="dxa" w:w="110"/>
              <w:bottom w:type="dxa" w:w="80"/>
              <w:right w:type="dxa" w:w="110"/>
            </w:tcMar>
            <w:vAlign w:val="center"/>
          </w:tcPr>
          <w:p>
            <w:r>
              <w:rPr>
                <w:rFonts w:ascii="Times New Roman" w:cs="Times New Roman" w:eastAsia="Times New Roman" w:hAnsi="Times New Roman"/>
                <w:b w:val="false"/>
                <w:bCs w:val="false"/>
                <w:color w:val="404040"/>
                <w:sz w:val="19"/>
                <w:szCs w:val="19"/>
              </w:rPr>
              <w:t xml:space="preserve">Sign-in log</w:t>
            </w:r>
          </w:p>
        </w:tc>
      </w:tr>
      <w:tr>
        <w:tc>
          <w:tcPr>
            <w:tcW w:type="pct" w:w="16%"/>
            <w:tcBorders>
              <w:top w:val="single" w:color="BFBFBF" w:sz="4"/>
              <w:left w:val="single" w:color="BFBFBF" w:sz="4"/>
              <w:bottom w:val="single" w:color="BFBFBF" w:sz="4"/>
              <w:right w:val="single" w:color="BFBFBF" w:sz="4"/>
            </w:tcBorders>
            <w:shd w:fill="F7F9FC" w:val="clear"/>
            <w:tcMar>
              <w:top w:type="dxa" w:w="80"/>
              <w:left w:type="dxa" w:w="110"/>
              <w:bottom w:type="dxa" w:w="80"/>
              <w:right w:type="dxa" w:w="110"/>
            </w:tcMar>
            <w:vAlign w:val="center"/>
          </w:tcPr>
          <w:p>
            <w:r>
              <w:rPr>
                <w:rFonts w:ascii="Times New Roman" w:cs="Times New Roman" w:eastAsia="Times New Roman" w:hAnsi="Times New Roman"/>
                <w:b w:val="false"/>
                <w:bCs w:val="false"/>
                <w:color w:val="404040"/>
                <w:sz w:val="19"/>
                <w:szCs w:val="19"/>
              </w:rPr>
              <w:t xml:space="preserve">13:22:05</w:t>
            </w:r>
          </w:p>
        </w:tc>
        <w:tc>
          <w:tcPr>
            <w:tcW w:type="pct" w:w="60%"/>
            <w:tcBorders>
              <w:top w:val="single" w:color="BFBFBF" w:sz="4"/>
              <w:left w:val="single" w:color="BFBFBF" w:sz="4"/>
              <w:bottom w:val="single" w:color="BFBFBF" w:sz="4"/>
              <w:right w:val="single" w:color="BFBFBF" w:sz="4"/>
            </w:tcBorders>
            <w:shd w:fill="F7F9FC" w:val="clear"/>
            <w:tcMar>
              <w:top w:type="dxa" w:w="80"/>
              <w:left w:type="dxa" w:w="110"/>
              <w:bottom w:type="dxa" w:w="80"/>
              <w:right w:type="dxa" w:w="110"/>
            </w:tcMar>
            <w:vAlign w:val="center"/>
          </w:tcPr>
          <w:p>
            <w:r>
              <w:rPr>
                <w:rFonts w:ascii="Times New Roman" w:cs="Times New Roman" w:eastAsia="Times New Roman" w:hAnsi="Times New Roman"/>
                <w:b w:val="false"/>
                <w:bCs w:val="false"/>
                <w:color w:val="404040"/>
                <w:sz w:val="19"/>
                <w:szCs w:val="19"/>
              </w:rPr>
              <w:t xml:space="preserve">Attacker signs in as ryan.boyd from 198.18.7.200 (Amsterdam) — second account used; Outlook Web 13:25</w:t>
            </w:r>
          </w:p>
        </w:tc>
        <w:tc>
          <w:tcPr>
            <w:tcW w:type="pct" w:w="24%"/>
            <w:tcBorders>
              <w:top w:val="single" w:color="BFBFBF" w:sz="4"/>
              <w:left w:val="single" w:color="BFBFBF" w:sz="4"/>
              <w:bottom w:val="single" w:color="BFBFBF" w:sz="4"/>
              <w:right w:val="single" w:color="BFBFBF" w:sz="4"/>
            </w:tcBorders>
            <w:shd w:fill="F7F9FC" w:val="clear"/>
            <w:tcMar>
              <w:top w:type="dxa" w:w="80"/>
              <w:left w:type="dxa" w:w="110"/>
              <w:bottom w:type="dxa" w:w="80"/>
              <w:right w:type="dxa" w:w="110"/>
            </w:tcMar>
            <w:vAlign w:val="center"/>
          </w:tcPr>
          <w:p>
            <w:r>
              <w:rPr>
                <w:rFonts w:ascii="Times New Roman" w:cs="Times New Roman" w:eastAsia="Times New Roman" w:hAnsi="Times New Roman"/>
                <w:b w:val="false"/>
                <w:bCs w:val="false"/>
                <w:color w:val="404040"/>
                <w:sz w:val="19"/>
                <w:szCs w:val="19"/>
              </w:rPr>
              <w:t xml:space="preserve">Sign-in log</w:t>
            </w:r>
          </w:p>
        </w:tc>
      </w:tr>
      <w:tr>
        <w:tc>
          <w:tcPr>
            <w:tcW w:type="pct" w:w="16%"/>
            <w:tcBorders>
              <w:top w:val="single" w:color="BFBFBF" w:sz="4"/>
              <w:left w:val="single" w:color="BFBFBF" w:sz="4"/>
              <w:bottom w:val="single" w:color="BFBFBF" w:sz="4"/>
              <w:right w:val="single" w:color="BFBFBF" w:sz="4"/>
            </w:tcBorders>
            <w:shd w:fill="FFFFFF" w:val="clear"/>
            <w:tcMar>
              <w:top w:type="dxa" w:w="80"/>
              <w:left w:type="dxa" w:w="110"/>
              <w:bottom w:type="dxa" w:w="80"/>
              <w:right w:type="dxa" w:w="110"/>
            </w:tcMar>
            <w:vAlign w:val="center"/>
          </w:tcPr>
          <w:p>
            <w:r>
              <w:rPr>
                <w:rFonts w:ascii="Times New Roman" w:cs="Times New Roman" w:eastAsia="Times New Roman" w:hAnsi="Times New Roman"/>
                <w:b w:val="false"/>
                <w:bCs w:val="false"/>
                <w:color w:val="404040"/>
                <w:sz w:val="19"/>
                <w:szCs w:val="19"/>
              </w:rPr>
              <w:t xml:space="preserve">~14:00</w:t>
            </w:r>
          </w:p>
        </w:tc>
        <w:tc>
          <w:tcPr>
            <w:tcW w:type="pct" w:w="60%"/>
            <w:tcBorders>
              <w:top w:val="single" w:color="BFBFBF" w:sz="4"/>
              <w:left w:val="single" w:color="BFBFBF" w:sz="4"/>
              <w:bottom w:val="single" w:color="BFBFBF" w:sz="4"/>
              <w:right w:val="single" w:color="BFBFBF" w:sz="4"/>
            </w:tcBorders>
            <w:shd w:fill="FFFFFF" w:val="clear"/>
            <w:tcMar>
              <w:top w:type="dxa" w:w="80"/>
              <w:left w:type="dxa" w:w="110"/>
              <w:bottom w:type="dxa" w:w="80"/>
              <w:right w:type="dxa" w:w="110"/>
            </w:tcMar>
            <w:vAlign w:val="center"/>
          </w:tcPr>
          <w:p>
            <w:r>
              <w:rPr>
                <w:rFonts w:ascii="Times New Roman" w:cs="Times New Roman" w:eastAsia="Times New Roman" w:hAnsi="Times New Roman"/>
                <w:b w:val="false"/>
                <w:bCs w:val="false"/>
                <w:color w:val="404040"/>
                <w:sz w:val="19"/>
                <w:szCs w:val="19"/>
              </w:rPr>
              <w:t xml:space="preserve">Containment executed on both accounts (see Section 9)</w:t>
            </w:r>
          </w:p>
        </w:tc>
        <w:tc>
          <w:tcPr>
            <w:tcW w:type="pct" w:w="24%"/>
            <w:tcBorders>
              <w:top w:val="single" w:color="BFBFBF" w:sz="4"/>
              <w:left w:val="single" w:color="BFBFBF" w:sz="4"/>
              <w:bottom w:val="single" w:color="BFBFBF" w:sz="4"/>
              <w:right w:val="single" w:color="BFBFBF" w:sz="4"/>
            </w:tcBorders>
            <w:shd w:fill="FFFFFF" w:val="clear"/>
            <w:tcMar>
              <w:top w:type="dxa" w:w="80"/>
              <w:left w:type="dxa" w:w="110"/>
              <w:bottom w:type="dxa" w:w="80"/>
              <w:right w:type="dxa" w:w="110"/>
            </w:tcMar>
            <w:vAlign w:val="center"/>
          </w:tcPr>
          <w:p>
            <w:r>
              <w:rPr>
                <w:rFonts w:ascii="Times New Roman" w:cs="Times New Roman" w:eastAsia="Times New Roman" w:hAnsi="Times New Roman"/>
                <w:b w:val="false"/>
                <w:bCs w:val="false"/>
                <w:color w:val="404040"/>
                <w:sz w:val="19"/>
                <w:szCs w:val="19"/>
              </w:rPr>
              <w:t xml:space="preserve">Response</w:t>
            </w:r>
          </w:p>
        </w:tc>
      </w:tr>
    </w:tbl>
    <w:p>
      <w:pPr>
        <w:pStyle w:val="Heading1"/>
        <w:pBdr>
          <w:bottom w:val="single" w:color="1F3864" w:sz="6" w:space="4"/>
        </w:pBdr>
        <w:spacing w:after="200" w:before="480"/>
      </w:pPr>
      <w:r>
        <w:rPr>
          <w:rFonts w:ascii="Times New Roman" w:cs="Times New Roman" w:eastAsia="Times New Roman" w:hAnsi="Times New Roman"/>
          <w:b/>
          <w:bCs/>
          <w:color w:val="1F3864"/>
          <w:sz w:val="30"/>
          <w:szCs w:val="30"/>
        </w:rPr>
        <w:t xml:space="preserve">5. Evidence and Analysis</w:t>
      </w:r>
    </w:p>
    <w:p>
      <w:pPr>
        <w:pStyle w:val="Heading2"/>
        <w:spacing w:after="140" w:before="320"/>
      </w:pPr>
      <w:r>
        <w:rPr>
          <w:rFonts w:ascii="Times New Roman" w:cs="Times New Roman" w:eastAsia="Times New Roman" w:hAnsi="Times New Roman"/>
          <w:b/>
          <w:bCs/>
          <w:color w:val="1F3864"/>
          <w:sz w:val="25"/>
          <w:szCs w:val="25"/>
        </w:rPr>
        <w:t xml:space="preserve">5.1 Header analysis — Variant A (spoofed Cloudora address)</w:t>
      </w:r>
    </w:p>
    <w:p>
      <w:pPr>
        <w:spacing w:after="160" w:line="276"/>
        <w:jc w:val="both"/>
      </w:pPr>
      <w:r>
        <w:rPr>
          <w:rFonts w:ascii="Times New Roman" w:cs="Times New Roman" w:eastAsia="Times New Roman" w:hAnsi="Times New Roman"/>
          <w:color w:val="404040"/>
          <w:sz w:val="22"/>
          <w:szCs w:val="22"/>
        </w:rPr>
        <w:t xml:space="preserve">Source: 01_phishing_payroll_variantA_reported.eml and 05_phishing_payroll_variantA_forwarded.eml.</w:t>
      </w:r>
    </w:p>
    <w:p>
      <w:pPr>
        <w:spacing w:after="160" w:line="276"/>
        <w:jc w:val="both"/>
      </w:pPr>
      <w:r>
        <w:rPr>
          <w:rFonts w:ascii="Times New Roman" w:cs="Times New Roman" w:eastAsia="Times New Roman" w:hAnsi="Times New Roman"/>
          <w:color w:val="404040"/>
          <w:sz w:val="22"/>
          <w:szCs w:val="22"/>
        </w:rPr>
        <w:t xml:space="preserve">The From address, payroll@cloudora.io, claims to be Cloudora — but the message cannot prove it. The Authentication-Results header shows spf=fail, dkim=fail, and dmarc=fail action=quarantine, with Microsoft's composite spoof verdict compauth=fail reason=001. Reading the Received chain from the bottom up shows the true origin: mail.cloudora-hr-portal.example at 198.18.44.23 (and, on a separate copy of the same variant, 198.18.44.10 — two relays in the same /24 block). The Reply-To header points to hr-support@cloudora-hr-portal.example, meaning a reply would leave the company straight to the attacker, despite the From address appearing internal.</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2496"/>
        <w:gridCol w:w="4032"/>
        <w:gridCol w:w="3072"/>
      </w:tblGrid>
      <w:tr>
        <w:trPr>
          <w:tblHeader/>
        </w:trPr>
        <w:tc>
          <w:tcPr>
            <w:tcW w:type="pct" w:w="26%"/>
            <w:tcBorders>
              <w:top w:val="single" w:color="1F3864" w:sz="4"/>
              <w:left w:val="single" w:color="1F3864" w:sz="4"/>
              <w:bottom w:val="single" w:color="1F3864" w:sz="4"/>
              <w:right w:val="single" w:color="1F3864" w:sz="4"/>
            </w:tcBorders>
            <w:shd w:fill="1F3864" w:val="clear"/>
            <w:tcMar>
              <w:top w:type="dxa" w:w="90"/>
              <w:left w:type="dxa" w:w="110"/>
              <w:bottom w:type="dxa" w:w="90"/>
              <w:right w:type="dxa" w:w="110"/>
            </w:tcMar>
            <w:vAlign w:val="center"/>
          </w:tcPr>
          <w:p>
            <w:r>
              <w:rPr>
                <w:rFonts w:ascii="Times New Roman" w:cs="Times New Roman" w:eastAsia="Times New Roman" w:hAnsi="Times New Roman"/>
                <w:b/>
                <w:bCs/>
                <w:color w:val="FFFFFF"/>
                <w:sz w:val="19"/>
                <w:szCs w:val="19"/>
              </w:rPr>
              <w:t xml:space="preserve">Check</w:t>
            </w:r>
          </w:p>
        </w:tc>
        <w:tc>
          <w:tcPr>
            <w:tcW w:type="pct" w:w="42%"/>
            <w:tcBorders>
              <w:top w:val="single" w:color="1F3864" w:sz="4"/>
              <w:left w:val="single" w:color="1F3864" w:sz="4"/>
              <w:bottom w:val="single" w:color="1F3864" w:sz="4"/>
              <w:right w:val="single" w:color="1F3864" w:sz="4"/>
            </w:tcBorders>
            <w:shd w:fill="1F3864" w:val="clear"/>
            <w:tcMar>
              <w:top w:type="dxa" w:w="90"/>
              <w:left w:type="dxa" w:w="110"/>
              <w:bottom w:type="dxa" w:w="90"/>
              <w:right w:type="dxa" w:w="110"/>
            </w:tcMar>
            <w:vAlign w:val="center"/>
          </w:tcPr>
          <w:p>
            <w:r>
              <w:rPr>
                <w:rFonts w:ascii="Times New Roman" w:cs="Times New Roman" w:eastAsia="Times New Roman" w:hAnsi="Times New Roman"/>
                <w:b/>
                <w:bCs/>
                <w:color w:val="FFFFFF"/>
                <w:sz w:val="19"/>
                <w:szCs w:val="19"/>
              </w:rPr>
              <w:t xml:space="preserve">Result</w:t>
            </w:r>
          </w:p>
        </w:tc>
        <w:tc>
          <w:tcPr>
            <w:tcW w:type="pct" w:w="32%"/>
            <w:tcBorders>
              <w:top w:val="single" w:color="1F3864" w:sz="4"/>
              <w:left w:val="single" w:color="1F3864" w:sz="4"/>
              <w:bottom w:val="single" w:color="1F3864" w:sz="4"/>
              <w:right w:val="single" w:color="1F3864" w:sz="4"/>
            </w:tcBorders>
            <w:shd w:fill="1F3864" w:val="clear"/>
            <w:tcMar>
              <w:top w:type="dxa" w:w="90"/>
              <w:left w:type="dxa" w:w="110"/>
              <w:bottom w:type="dxa" w:w="90"/>
              <w:right w:type="dxa" w:w="110"/>
            </w:tcMar>
            <w:vAlign w:val="center"/>
          </w:tcPr>
          <w:p>
            <w:r>
              <w:rPr>
                <w:rFonts w:ascii="Times New Roman" w:cs="Times New Roman" w:eastAsia="Times New Roman" w:hAnsi="Times New Roman"/>
                <w:b/>
                <w:bCs/>
                <w:color w:val="FFFFFF"/>
                <w:sz w:val="19"/>
                <w:szCs w:val="19"/>
              </w:rPr>
              <w:t xml:space="preserve">Verdict</w:t>
            </w:r>
          </w:p>
        </w:tc>
      </w:tr>
      <w:tr>
        <w:tc>
          <w:tcPr>
            <w:tcW w:type="pct" w:w="26%"/>
            <w:tcBorders>
              <w:top w:val="single" w:color="BFBFBF" w:sz="4"/>
              <w:left w:val="single" w:color="BFBFBF" w:sz="4"/>
              <w:bottom w:val="single" w:color="BFBFBF" w:sz="4"/>
              <w:right w:val="single" w:color="BFBFBF" w:sz="4"/>
            </w:tcBorders>
            <w:shd w:fill="FFFFFF" w:val="clear"/>
            <w:tcMar>
              <w:top w:type="dxa" w:w="80"/>
              <w:left w:type="dxa" w:w="110"/>
              <w:bottom w:type="dxa" w:w="80"/>
              <w:right w:type="dxa" w:w="110"/>
            </w:tcMar>
            <w:vAlign w:val="center"/>
          </w:tcPr>
          <w:p>
            <w:r>
              <w:rPr>
                <w:rFonts w:ascii="Times New Roman" w:cs="Times New Roman" w:eastAsia="Times New Roman" w:hAnsi="Times New Roman"/>
                <w:b w:val="false"/>
                <w:bCs w:val="false"/>
                <w:color w:val="404040"/>
                <w:sz w:val="19"/>
                <w:szCs w:val="19"/>
              </w:rPr>
              <w:t xml:space="preserve">From address</w:t>
            </w:r>
          </w:p>
        </w:tc>
        <w:tc>
          <w:tcPr>
            <w:tcW w:type="pct" w:w="42%"/>
            <w:tcBorders>
              <w:top w:val="single" w:color="BFBFBF" w:sz="4"/>
              <w:left w:val="single" w:color="BFBFBF" w:sz="4"/>
              <w:bottom w:val="single" w:color="BFBFBF" w:sz="4"/>
              <w:right w:val="single" w:color="BFBFBF" w:sz="4"/>
            </w:tcBorders>
            <w:shd w:fill="FFFFFF" w:val="clear"/>
            <w:tcMar>
              <w:top w:type="dxa" w:w="80"/>
              <w:left w:type="dxa" w:w="110"/>
              <w:bottom w:type="dxa" w:w="80"/>
              <w:right w:type="dxa" w:w="110"/>
            </w:tcMar>
            <w:vAlign w:val="center"/>
          </w:tcPr>
          <w:p>
            <w:r>
              <w:rPr>
                <w:rFonts w:ascii="Times New Roman" w:cs="Times New Roman" w:eastAsia="Times New Roman" w:hAnsi="Times New Roman"/>
                <w:b w:val="false"/>
                <w:bCs w:val="false"/>
                <w:color w:val="404040"/>
                <w:sz w:val="19"/>
                <w:szCs w:val="19"/>
              </w:rPr>
              <w:t xml:space="preserve">payroll@cloudora.io (claimed)</w:t>
            </w:r>
          </w:p>
        </w:tc>
        <w:tc>
          <w:tcPr>
            <w:tcW w:type="pct" w:w="32%"/>
            <w:tcBorders>
              <w:top w:val="single" w:color="BFBFBF" w:sz="4"/>
              <w:left w:val="single" w:color="BFBFBF" w:sz="4"/>
              <w:bottom w:val="single" w:color="BFBFBF" w:sz="4"/>
              <w:right w:val="single" w:color="BFBFBF" w:sz="4"/>
            </w:tcBorders>
            <w:shd w:fill="FFFFFF" w:val="clear"/>
            <w:tcMar>
              <w:top w:type="dxa" w:w="80"/>
              <w:left w:type="dxa" w:w="110"/>
              <w:bottom w:type="dxa" w:w="80"/>
              <w:right w:type="dxa" w:w="110"/>
            </w:tcMar>
            <w:vAlign w:val="center"/>
          </w:tcPr>
          <w:p>
            <w:r>
              <w:rPr>
                <w:rFonts w:ascii="Times New Roman" w:cs="Times New Roman" w:eastAsia="Times New Roman" w:hAnsi="Times New Roman"/>
                <w:b w:val="false"/>
                <w:bCs w:val="false"/>
                <w:color w:val="404040"/>
                <w:sz w:val="19"/>
                <w:szCs w:val="19"/>
              </w:rPr>
              <w:t xml:space="preserve">Cannot be trusted — attacker-controlled field</w:t>
            </w:r>
          </w:p>
        </w:tc>
      </w:tr>
      <w:tr>
        <w:tc>
          <w:tcPr>
            <w:tcW w:type="pct" w:w="26%"/>
            <w:tcBorders>
              <w:top w:val="single" w:color="BFBFBF" w:sz="4"/>
              <w:left w:val="single" w:color="BFBFBF" w:sz="4"/>
              <w:bottom w:val="single" w:color="BFBFBF" w:sz="4"/>
              <w:right w:val="single" w:color="BFBFBF" w:sz="4"/>
            </w:tcBorders>
            <w:shd w:fill="F7F9FC" w:val="clear"/>
            <w:tcMar>
              <w:top w:type="dxa" w:w="80"/>
              <w:left w:type="dxa" w:w="110"/>
              <w:bottom w:type="dxa" w:w="80"/>
              <w:right w:type="dxa" w:w="110"/>
            </w:tcMar>
            <w:vAlign w:val="center"/>
          </w:tcPr>
          <w:p>
            <w:r>
              <w:rPr>
                <w:rFonts w:ascii="Times New Roman" w:cs="Times New Roman" w:eastAsia="Times New Roman" w:hAnsi="Times New Roman"/>
                <w:b w:val="false"/>
                <w:bCs w:val="false"/>
                <w:color w:val="404040"/>
                <w:sz w:val="19"/>
                <w:szCs w:val="19"/>
              </w:rPr>
              <w:t xml:space="preserve">SPF / DKIM / DMARC</w:t>
            </w:r>
          </w:p>
        </w:tc>
        <w:tc>
          <w:tcPr>
            <w:tcW w:type="pct" w:w="42%"/>
            <w:tcBorders>
              <w:top w:val="single" w:color="BFBFBF" w:sz="4"/>
              <w:left w:val="single" w:color="BFBFBF" w:sz="4"/>
              <w:bottom w:val="single" w:color="BFBFBF" w:sz="4"/>
              <w:right w:val="single" w:color="BFBFBF" w:sz="4"/>
            </w:tcBorders>
            <w:shd w:fill="F7F9FC" w:val="clear"/>
            <w:tcMar>
              <w:top w:type="dxa" w:w="80"/>
              <w:left w:type="dxa" w:w="110"/>
              <w:bottom w:type="dxa" w:w="80"/>
              <w:right w:type="dxa" w:w="110"/>
            </w:tcMar>
            <w:vAlign w:val="center"/>
          </w:tcPr>
          <w:p>
            <w:r>
              <w:rPr>
                <w:rFonts w:ascii="Times New Roman" w:cs="Times New Roman" w:eastAsia="Times New Roman" w:hAnsi="Times New Roman"/>
                <w:b w:val="false"/>
                <w:bCs w:val="false"/>
                <w:color w:val="404040"/>
                <w:sz w:val="19"/>
                <w:szCs w:val="19"/>
              </w:rPr>
              <w:t xml:space="preserve">fail / fail / fail (quarantine), compauth=fail reason=001</w:t>
            </w:r>
          </w:p>
        </w:tc>
        <w:tc>
          <w:tcPr>
            <w:tcW w:type="pct" w:w="32%"/>
            <w:tcBorders>
              <w:top w:val="single" w:color="BFBFBF" w:sz="4"/>
              <w:left w:val="single" w:color="BFBFBF" w:sz="4"/>
              <w:bottom w:val="single" w:color="BFBFBF" w:sz="4"/>
              <w:right w:val="single" w:color="BFBFBF" w:sz="4"/>
            </w:tcBorders>
            <w:shd w:fill="F7F9FC" w:val="clear"/>
            <w:tcMar>
              <w:top w:type="dxa" w:w="80"/>
              <w:left w:type="dxa" w:w="110"/>
              <w:bottom w:type="dxa" w:w="80"/>
              <w:right w:type="dxa" w:w="110"/>
            </w:tcMar>
            <w:vAlign w:val="center"/>
          </w:tcPr>
          <w:p>
            <w:r>
              <w:rPr>
                <w:rFonts w:ascii="Times New Roman" w:cs="Times New Roman" w:eastAsia="Times New Roman" w:hAnsi="Times New Roman"/>
                <w:b w:val="false"/>
                <w:bCs w:val="false"/>
                <w:color w:val="404040"/>
                <w:sz w:val="19"/>
                <w:szCs w:val="19"/>
              </w:rPr>
              <w:t xml:space="preserve">Fails authentication for cloudora.io</w:t>
            </w:r>
          </w:p>
        </w:tc>
      </w:tr>
      <w:tr>
        <w:tc>
          <w:tcPr>
            <w:tcW w:type="pct" w:w="26%"/>
            <w:tcBorders>
              <w:top w:val="single" w:color="BFBFBF" w:sz="4"/>
              <w:left w:val="single" w:color="BFBFBF" w:sz="4"/>
              <w:bottom w:val="single" w:color="BFBFBF" w:sz="4"/>
              <w:right w:val="single" w:color="BFBFBF" w:sz="4"/>
            </w:tcBorders>
            <w:shd w:fill="FFFFFF" w:val="clear"/>
            <w:tcMar>
              <w:top w:type="dxa" w:w="80"/>
              <w:left w:type="dxa" w:w="110"/>
              <w:bottom w:type="dxa" w:w="80"/>
              <w:right w:type="dxa" w:w="110"/>
            </w:tcMar>
            <w:vAlign w:val="center"/>
          </w:tcPr>
          <w:p>
            <w:r>
              <w:rPr>
                <w:rFonts w:ascii="Times New Roman" w:cs="Times New Roman" w:eastAsia="Times New Roman" w:hAnsi="Times New Roman"/>
                <w:b w:val="false"/>
                <w:bCs w:val="false"/>
                <w:color w:val="404040"/>
                <w:sz w:val="19"/>
                <w:szCs w:val="19"/>
              </w:rPr>
              <w:t xml:space="preserve">True origin (Received chain)</w:t>
            </w:r>
          </w:p>
        </w:tc>
        <w:tc>
          <w:tcPr>
            <w:tcW w:type="pct" w:w="42%"/>
            <w:tcBorders>
              <w:top w:val="single" w:color="BFBFBF" w:sz="4"/>
              <w:left w:val="single" w:color="BFBFBF" w:sz="4"/>
              <w:bottom w:val="single" w:color="BFBFBF" w:sz="4"/>
              <w:right w:val="single" w:color="BFBFBF" w:sz="4"/>
            </w:tcBorders>
            <w:shd w:fill="FFFFFF" w:val="clear"/>
            <w:tcMar>
              <w:top w:type="dxa" w:w="80"/>
              <w:left w:type="dxa" w:w="110"/>
              <w:bottom w:type="dxa" w:w="80"/>
              <w:right w:type="dxa" w:w="110"/>
            </w:tcMar>
            <w:vAlign w:val="center"/>
          </w:tcPr>
          <w:p>
            <w:r>
              <w:rPr>
                <w:rFonts w:ascii="Times New Roman" w:cs="Times New Roman" w:eastAsia="Times New Roman" w:hAnsi="Times New Roman"/>
                <w:b w:val="false"/>
                <w:bCs w:val="false"/>
                <w:color w:val="404040"/>
                <w:sz w:val="19"/>
                <w:szCs w:val="19"/>
              </w:rPr>
              <w:t xml:space="preserve">mail.cloudora-hr-portal.example, 198.18.44.10 / 198.18.44.23</w:t>
            </w:r>
          </w:p>
        </w:tc>
        <w:tc>
          <w:tcPr>
            <w:tcW w:type="pct" w:w="32%"/>
            <w:tcBorders>
              <w:top w:val="single" w:color="BFBFBF" w:sz="4"/>
              <w:left w:val="single" w:color="BFBFBF" w:sz="4"/>
              <w:bottom w:val="single" w:color="BFBFBF" w:sz="4"/>
              <w:right w:val="single" w:color="BFBFBF" w:sz="4"/>
            </w:tcBorders>
            <w:shd w:fill="FFFFFF" w:val="clear"/>
            <w:tcMar>
              <w:top w:type="dxa" w:w="80"/>
              <w:left w:type="dxa" w:w="110"/>
              <w:bottom w:type="dxa" w:w="80"/>
              <w:right w:type="dxa" w:w="110"/>
            </w:tcMar>
            <w:vAlign w:val="center"/>
          </w:tcPr>
          <w:p>
            <w:r>
              <w:rPr>
                <w:rFonts w:ascii="Times New Roman" w:cs="Times New Roman" w:eastAsia="Times New Roman" w:hAnsi="Times New Roman"/>
                <w:b w:val="false"/>
                <w:bCs w:val="false"/>
                <w:color w:val="404040"/>
                <w:sz w:val="19"/>
                <w:szCs w:val="19"/>
              </w:rPr>
              <w:t xml:space="preserve">External, not Cloudora infrastructure</w:t>
            </w:r>
          </w:p>
        </w:tc>
      </w:tr>
      <w:tr>
        <w:tc>
          <w:tcPr>
            <w:tcW w:type="pct" w:w="26%"/>
            <w:tcBorders>
              <w:top w:val="single" w:color="BFBFBF" w:sz="4"/>
              <w:left w:val="single" w:color="BFBFBF" w:sz="4"/>
              <w:bottom w:val="single" w:color="BFBFBF" w:sz="4"/>
              <w:right w:val="single" w:color="BFBFBF" w:sz="4"/>
            </w:tcBorders>
            <w:shd w:fill="F7F9FC" w:val="clear"/>
            <w:tcMar>
              <w:top w:type="dxa" w:w="80"/>
              <w:left w:type="dxa" w:w="110"/>
              <w:bottom w:type="dxa" w:w="80"/>
              <w:right w:type="dxa" w:w="110"/>
            </w:tcMar>
            <w:vAlign w:val="center"/>
          </w:tcPr>
          <w:p>
            <w:r>
              <w:rPr>
                <w:rFonts w:ascii="Times New Roman" w:cs="Times New Roman" w:eastAsia="Times New Roman" w:hAnsi="Times New Roman"/>
                <w:b w:val="false"/>
                <w:bCs w:val="false"/>
                <w:color w:val="404040"/>
                <w:sz w:val="19"/>
                <w:szCs w:val="19"/>
              </w:rPr>
              <w:t xml:space="preserve">Reply-To</w:t>
            </w:r>
          </w:p>
        </w:tc>
        <w:tc>
          <w:tcPr>
            <w:tcW w:type="pct" w:w="42%"/>
            <w:tcBorders>
              <w:top w:val="single" w:color="BFBFBF" w:sz="4"/>
              <w:left w:val="single" w:color="BFBFBF" w:sz="4"/>
              <w:bottom w:val="single" w:color="BFBFBF" w:sz="4"/>
              <w:right w:val="single" w:color="BFBFBF" w:sz="4"/>
            </w:tcBorders>
            <w:shd w:fill="F7F9FC" w:val="clear"/>
            <w:tcMar>
              <w:top w:type="dxa" w:w="80"/>
              <w:left w:type="dxa" w:w="110"/>
              <w:bottom w:type="dxa" w:w="80"/>
              <w:right w:type="dxa" w:w="110"/>
            </w:tcMar>
            <w:vAlign w:val="center"/>
          </w:tcPr>
          <w:p>
            <w:r>
              <w:rPr>
                <w:rFonts w:ascii="Times New Roman" w:cs="Times New Roman" w:eastAsia="Times New Roman" w:hAnsi="Times New Roman"/>
                <w:b w:val="false"/>
                <w:bCs w:val="false"/>
                <w:color w:val="404040"/>
                <w:sz w:val="19"/>
                <w:szCs w:val="19"/>
              </w:rPr>
              <w:t xml:space="preserve">hr-support@cloudora-hr-portal.example</w:t>
            </w:r>
          </w:p>
        </w:tc>
        <w:tc>
          <w:tcPr>
            <w:tcW w:type="pct" w:w="32%"/>
            <w:tcBorders>
              <w:top w:val="single" w:color="BFBFBF" w:sz="4"/>
              <w:left w:val="single" w:color="BFBFBF" w:sz="4"/>
              <w:bottom w:val="single" w:color="BFBFBF" w:sz="4"/>
              <w:right w:val="single" w:color="BFBFBF" w:sz="4"/>
            </w:tcBorders>
            <w:shd w:fill="F7F9FC" w:val="clear"/>
            <w:tcMar>
              <w:top w:type="dxa" w:w="80"/>
              <w:left w:type="dxa" w:w="110"/>
              <w:bottom w:type="dxa" w:w="80"/>
              <w:right w:type="dxa" w:w="110"/>
            </w:tcMar>
            <w:vAlign w:val="center"/>
          </w:tcPr>
          <w:p>
            <w:r>
              <w:rPr>
                <w:rFonts w:ascii="Times New Roman" w:cs="Times New Roman" w:eastAsia="Times New Roman" w:hAnsi="Times New Roman"/>
                <w:b w:val="false"/>
                <w:bCs w:val="false"/>
                <w:color w:val="404040"/>
                <w:sz w:val="19"/>
                <w:szCs w:val="19"/>
              </w:rPr>
              <w:t xml:space="preserve">Mismatched — replies leave the company</w:t>
            </w:r>
          </w:p>
        </w:tc>
      </w:tr>
      <w:tr>
        <w:tc>
          <w:tcPr>
            <w:tcW w:type="pct" w:w="26%"/>
            <w:tcBorders>
              <w:top w:val="single" w:color="BFBFBF" w:sz="4"/>
              <w:left w:val="single" w:color="BFBFBF" w:sz="4"/>
              <w:bottom w:val="single" w:color="BFBFBF" w:sz="4"/>
              <w:right w:val="single" w:color="BFBFBF" w:sz="4"/>
            </w:tcBorders>
            <w:shd w:fill="FFFFFF" w:val="clear"/>
            <w:tcMar>
              <w:top w:type="dxa" w:w="80"/>
              <w:left w:type="dxa" w:w="110"/>
              <w:bottom w:type="dxa" w:w="80"/>
              <w:right w:type="dxa" w:w="110"/>
            </w:tcMar>
            <w:vAlign w:val="center"/>
          </w:tcPr>
          <w:p>
            <w:r>
              <w:rPr>
                <w:rFonts w:ascii="Times New Roman" w:cs="Times New Roman" w:eastAsia="Times New Roman" w:hAnsi="Times New Roman"/>
                <w:b w:val="false"/>
                <w:bCs w:val="false"/>
                <w:color w:val="404040"/>
                <w:sz w:val="19"/>
                <w:szCs w:val="19"/>
              </w:rPr>
              <w:t xml:space="preserve">Link target</w:t>
            </w:r>
          </w:p>
        </w:tc>
        <w:tc>
          <w:tcPr>
            <w:tcW w:type="pct" w:w="42%"/>
            <w:tcBorders>
              <w:top w:val="single" w:color="BFBFBF" w:sz="4"/>
              <w:left w:val="single" w:color="BFBFBF" w:sz="4"/>
              <w:bottom w:val="single" w:color="BFBFBF" w:sz="4"/>
              <w:right w:val="single" w:color="BFBFBF" w:sz="4"/>
            </w:tcBorders>
            <w:shd w:fill="FFFFFF" w:val="clear"/>
            <w:tcMar>
              <w:top w:type="dxa" w:w="80"/>
              <w:left w:type="dxa" w:w="110"/>
              <w:bottom w:type="dxa" w:w="80"/>
              <w:right w:type="dxa" w:w="110"/>
            </w:tcMar>
            <w:vAlign w:val="center"/>
          </w:tcPr>
          <w:p>
            <w:r>
              <w:rPr>
                <w:rFonts w:ascii="Times New Roman" w:cs="Times New Roman" w:eastAsia="Times New Roman" w:hAnsi="Times New Roman"/>
                <w:b w:val="false"/>
                <w:bCs w:val="false"/>
                <w:color w:val="404040"/>
                <w:sz w:val="19"/>
                <w:szCs w:val="19"/>
              </w:rPr>
              <w:t xml:space="preserve">https://cloudora-hr-portal.example/payroll/login</w:t>
            </w:r>
          </w:p>
        </w:tc>
        <w:tc>
          <w:tcPr>
            <w:tcW w:type="pct" w:w="32%"/>
            <w:tcBorders>
              <w:top w:val="single" w:color="BFBFBF" w:sz="4"/>
              <w:left w:val="single" w:color="BFBFBF" w:sz="4"/>
              <w:bottom w:val="single" w:color="BFBFBF" w:sz="4"/>
              <w:right w:val="single" w:color="BFBFBF" w:sz="4"/>
            </w:tcBorders>
            <w:shd w:fill="FFFFFF" w:val="clear"/>
            <w:tcMar>
              <w:top w:type="dxa" w:w="80"/>
              <w:left w:type="dxa" w:w="110"/>
              <w:bottom w:type="dxa" w:w="80"/>
              <w:right w:type="dxa" w:w="110"/>
            </w:tcMar>
            <w:vAlign w:val="center"/>
          </w:tcPr>
          <w:p>
            <w:r>
              <w:rPr>
                <w:rFonts w:ascii="Times New Roman" w:cs="Times New Roman" w:eastAsia="Times New Roman" w:hAnsi="Times New Roman"/>
                <w:b w:val="false"/>
                <w:bCs w:val="false"/>
                <w:color w:val="404040"/>
                <w:sz w:val="19"/>
                <w:szCs w:val="19"/>
              </w:rPr>
              <w:t xml:space="preserve">Lookalike domain, not cloudora.io</w:t>
            </w:r>
          </w:p>
        </w:tc>
      </w:tr>
    </w:tbl>
    <w:p>
      <w:pPr>
        <w:spacing w:after="160" w:line="276"/>
        <w:jc w:val="both"/>
      </w:pPr>
      <w:r>
        <w:rPr>
          <w:rFonts w:ascii="Times New Roman" w:cs="Times New Roman" w:eastAsia="Times New Roman" w:hAnsi="Times New Roman"/>
          <w:b/>
          <w:bCs/>
          <w:color w:val="404040"/>
          <w:sz w:val="22"/>
          <w:szCs w:val="22"/>
        </w:rPr>
        <w:t xml:space="preserve">Verdict: PHISH. Spoofed sender, all authentication checks fail, external origin, mismatched Reply-To, and a credential-harvesting link on a lookalike domain.</w:t>
      </w:r>
    </w:p>
    <w:p>
      <w:pPr>
        <w:pStyle w:val="Heading2"/>
        <w:spacing w:after="140" w:before="320"/>
      </w:pPr>
      <w:r>
        <w:rPr>
          <w:rFonts w:ascii="Times New Roman" w:cs="Times New Roman" w:eastAsia="Times New Roman" w:hAnsi="Times New Roman"/>
          <w:b/>
          <w:bCs/>
          <w:color w:val="1F3864"/>
          <w:sz w:val="25"/>
          <w:szCs w:val="25"/>
        </w:rPr>
        <w:t xml:space="preserve">5.2 Header analysis — Variant B (the pass-authentication trap)</w:t>
      </w:r>
    </w:p>
    <w:p>
      <w:pPr>
        <w:spacing w:after="160" w:line="276"/>
        <w:jc w:val="both"/>
      </w:pPr>
      <w:r>
        <w:rPr>
          <w:rFonts w:ascii="Times New Roman" w:cs="Times New Roman" w:eastAsia="Times New Roman" w:hAnsi="Times New Roman"/>
          <w:color w:val="404040"/>
          <w:sz w:val="22"/>
          <w:szCs w:val="22"/>
        </w:rPr>
        <w:t xml:space="preserve">Source: 02_phishing_payroll_variantB.eml.</w:t>
      </w:r>
    </w:p>
    <w:p>
      <w:pPr>
        <w:spacing w:after="160" w:line="276"/>
        <w:jc w:val="both"/>
      </w:pPr>
      <w:r>
        <w:rPr>
          <w:rFonts w:ascii="Times New Roman" w:cs="Times New Roman" w:eastAsia="Times New Roman" w:hAnsi="Times New Roman"/>
          <w:color w:val="404040"/>
          <w:sz w:val="22"/>
          <w:szCs w:val="22"/>
        </w:rPr>
        <w:t xml:space="preserve">Variant B is sent from the attacker's own domain, cloudora-hr-portal.example, at 198.18.51.7. Because the message genuinely originates from that domain, SPF, DKIM and DMARC all PASS — but they pass for cloudora-hr-portal.example, not for cloudora.io. This is the central analytic trap of the investigation: authentication only proves which domain sent a message, not whether that domain is trustworthy. A green authentication result on a lookalike domain is still a phish. The link (login.cloudora-hr-portal.example/verify) leads to the same credential-harvesting infrastructure as Variant A.</w:t>
      </w:r>
    </w:p>
    <w:p>
      <w:pPr>
        <w:spacing w:after="160" w:line="276"/>
        <w:jc w:val="both"/>
      </w:pPr>
      <w:r>
        <w:rPr>
          <w:rFonts w:ascii="Times New Roman" w:cs="Times New Roman" w:eastAsia="Times New Roman" w:hAnsi="Times New Roman"/>
          <w:b/>
          <w:bCs/>
          <w:color w:val="404040"/>
          <w:sz w:val="22"/>
          <w:szCs w:val="22"/>
        </w:rPr>
        <w:t xml:space="preserve">Verdict: PHISH, despite passing authentication — the domain being authenticated is not Cloudora's.</w:t>
      </w:r>
    </w:p>
    <w:p>
      <w:pPr>
        <w:pStyle w:val="Heading2"/>
        <w:spacing w:after="140" w:before="320"/>
      </w:pPr>
      <w:r>
        <w:rPr>
          <w:rFonts w:ascii="Times New Roman" w:cs="Times New Roman" w:eastAsia="Times New Roman" w:hAnsi="Times New Roman"/>
          <w:b/>
          <w:bCs/>
          <w:color w:val="1F3864"/>
          <w:sz w:val="25"/>
          <w:szCs w:val="25"/>
        </w:rPr>
        <w:t xml:space="preserve">5.3 False positive clearance — Mailchimp newsletter</w:t>
      </w:r>
    </w:p>
    <w:p>
      <w:pPr>
        <w:spacing w:after="160" w:line="276"/>
        <w:jc w:val="both"/>
      </w:pPr>
      <w:r>
        <w:rPr>
          <w:rFonts w:ascii="Times New Roman" w:cs="Times New Roman" w:eastAsia="Times New Roman" w:hAnsi="Times New Roman"/>
          <w:color w:val="404040"/>
          <w:sz w:val="22"/>
          <w:szCs w:val="22"/>
        </w:rPr>
        <w:t xml:space="preserve">Source: 03_benign_mailchimp_newsletter.eml, forwarded by adam.clark alongside the phishing report.</w:t>
      </w:r>
    </w:p>
    <w:p>
      <w:pPr>
        <w:spacing w:after="160" w:line="276"/>
        <w:jc w:val="both"/>
      </w:pPr>
      <w:r>
        <w:rPr>
          <w:rFonts w:ascii="Times New Roman" w:cs="Times New Roman" w:eastAsia="Times New Roman" w:hAnsi="Times New Roman"/>
          <w:color w:val="404040"/>
          <w:sz w:val="22"/>
          <w:szCs w:val="22"/>
        </w:rPr>
        <w:t xml:space="preserve">The ‘Cloudora Monthly’ newsletter is sent from news@cloudora.io. Authentication-Results shows spf=pass, dkim=pass for both header.d=cloudora.io and header.d=mcsv.net (Mailchimp, Cloudora's authorised sending service), and dmarc=pass action=none with alignment to cloudora.io. It carries a valid one-click List-Unsubscribe header and its links resolve to Cloudora's genuine list-manage domain. Unlike Variant B, its authentication aligns to the real Cloudora brand, not a lookalike — the distinguishing test between a genuine pass and a phishing pass.</w:t>
      </w:r>
    </w:p>
    <w:p>
      <w:pPr>
        <w:spacing w:after="160" w:line="276"/>
        <w:jc w:val="both"/>
      </w:pPr>
      <w:r>
        <w:rPr>
          <w:rFonts w:ascii="Times New Roman" w:cs="Times New Roman" w:eastAsia="Times New Roman" w:hAnsi="Times New Roman"/>
          <w:b/>
          <w:bCs/>
          <w:color w:val="404040"/>
          <w:sz w:val="22"/>
          <w:szCs w:val="22"/>
        </w:rPr>
        <w:t xml:space="preserve">Verdict: LEGITIMATE. Cleared with evidence so it is not re-investigated.</w:t>
      </w:r>
    </w:p>
    <w:p>
      <w:pPr>
        <w:pStyle w:val="Heading2"/>
        <w:spacing w:after="140" w:before="320"/>
      </w:pPr>
      <w:r>
        <w:rPr>
          <w:rFonts w:ascii="Times New Roman" w:cs="Times New Roman" w:eastAsia="Times New Roman" w:hAnsi="Times New Roman"/>
          <w:b/>
          <w:bCs/>
          <w:color w:val="1F3864"/>
          <w:sz w:val="25"/>
          <w:szCs w:val="25"/>
        </w:rPr>
        <w:t xml:space="preserve">5.4 Campaign delivery scope</w:t>
      </w:r>
    </w:p>
    <w:p>
      <w:pPr>
        <w:spacing w:after="160" w:line="276"/>
        <w:jc w:val="both"/>
      </w:pPr>
      <w:r>
        <w:rPr>
          <w:rFonts w:ascii="Times New Roman" w:cs="Times New Roman" w:eastAsia="Times New Roman" w:hAnsi="Times New Roman"/>
          <w:color w:val="404040"/>
          <w:sz w:val="22"/>
          <w:szCs w:val="22"/>
        </w:rPr>
        <w:t xml:space="preserve">Query: message-trace delivery events grouped by campaign, sender IP, and authentication result.</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2112"/>
        <w:gridCol w:w="2112"/>
        <w:gridCol w:w="2496"/>
        <w:gridCol w:w="1440"/>
        <w:gridCol w:w="1440"/>
      </w:tblGrid>
      <w:tr>
        <w:trPr>
          <w:tblHeader/>
        </w:trPr>
        <w:tc>
          <w:tcPr>
            <w:tcW w:type="pct" w:w="22%"/>
            <w:tcBorders>
              <w:top w:val="single" w:color="1F3864" w:sz="4"/>
              <w:left w:val="single" w:color="1F3864" w:sz="4"/>
              <w:bottom w:val="single" w:color="1F3864" w:sz="4"/>
              <w:right w:val="single" w:color="1F3864" w:sz="4"/>
            </w:tcBorders>
            <w:shd w:fill="1F3864" w:val="clear"/>
            <w:tcMar>
              <w:top w:type="dxa" w:w="90"/>
              <w:left w:type="dxa" w:w="110"/>
              <w:bottom w:type="dxa" w:w="90"/>
              <w:right w:type="dxa" w:w="110"/>
            </w:tcMar>
            <w:vAlign w:val="center"/>
          </w:tcPr>
          <w:p>
            <w:r>
              <w:rPr>
                <w:rFonts w:ascii="Times New Roman" w:cs="Times New Roman" w:eastAsia="Times New Roman" w:hAnsi="Times New Roman"/>
                <w:b/>
                <w:bCs/>
                <w:color w:val="FFFFFF"/>
                <w:sz w:val="19"/>
                <w:szCs w:val="19"/>
              </w:rPr>
              <w:t xml:space="preserve">Campaign</w:t>
            </w:r>
          </w:p>
        </w:tc>
        <w:tc>
          <w:tcPr>
            <w:tcW w:type="pct" w:w="22%"/>
            <w:tcBorders>
              <w:top w:val="single" w:color="1F3864" w:sz="4"/>
              <w:left w:val="single" w:color="1F3864" w:sz="4"/>
              <w:bottom w:val="single" w:color="1F3864" w:sz="4"/>
              <w:right w:val="single" w:color="1F3864" w:sz="4"/>
            </w:tcBorders>
            <w:shd w:fill="1F3864" w:val="clear"/>
            <w:tcMar>
              <w:top w:type="dxa" w:w="90"/>
              <w:left w:type="dxa" w:w="110"/>
              <w:bottom w:type="dxa" w:w="90"/>
              <w:right w:type="dxa" w:w="110"/>
            </w:tcMar>
            <w:vAlign w:val="center"/>
          </w:tcPr>
          <w:p>
            <w:r>
              <w:rPr>
                <w:rFonts w:ascii="Times New Roman" w:cs="Times New Roman" w:eastAsia="Times New Roman" w:hAnsi="Times New Roman"/>
                <w:b/>
                <w:bCs/>
                <w:color w:val="FFFFFF"/>
                <w:sz w:val="19"/>
                <w:szCs w:val="19"/>
              </w:rPr>
              <w:t xml:space="preserve">Sender IP</w:t>
            </w:r>
          </w:p>
        </w:tc>
        <w:tc>
          <w:tcPr>
            <w:tcW w:type="pct" w:w="26%"/>
            <w:tcBorders>
              <w:top w:val="single" w:color="1F3864" w:sz="4"/>
              <w:left w:val="single" w:color="1F3864" w:sz="4"/>
              <w:bottom w:val="single" w:color="1F3864" w:sz="4"/>
              <w:right w:val="single" w:color="1F3864" w:sz="4"/>
            </w:tcBorders>
            <w:shd w:fill="1F3864" w:val="clear"/>
            <w:tcMar>
              <w:top w:type="dxa" w:w="90"/>
              <w:left w:type="dxa" w:w="110"/>
              <w:bottom w:type="dxa" w:w="90"/>
              <w:right w:type="dxa" w:w="110"/>
            </w:tcMar>
            <w:vAlign w:val="center"/>
          </w:tcPr>
          <w:p>
            <w:r>
              <w:rPr>
                <w:rFonts w:ascii="Times New Roman" w:cs="Times New Roman" w:eastAsia="Times New Roman" w:hAnsi="Times New Roman"/>
                <w:b/>
                <w:bCs/>
                <w:color w:val="FFFFFF"/>
                <w:sz w:val="19"/>
                <w:szCs w:val="19"/>
              </w:rPr>
              <w:t xml:space="preserve">SPF / DKIM / DMARC</w:t>
            </w:r>
          </w:p>
        </w:tc>
        <w:tc>
          <w:tcPr>
            <w:tcW w:type="pct" w:w="15%"/>
            <w:tcBorders>
              <w:top w:val="single" w:color="1F3864" w:sz="4"/>
              <w:left w:val="single" w:color="1F3864" w:sz="4"/>
              <w:bottom w:val="single" w:color="1F3864" w:sz="4"/>
              <w:right w:val="single" w:color="1F3864" w:sz="4"/>
            </w:tcBorders>
            <w:shd w:fill="1F3864" w:val="clear"/>
            <w:tcMar>
              <w:top w:type="dxa" w:w="90"/>
              <w:left w:type="dxa" w:w="110"/>
              <w:bottom w:type="dxa" w:w="90"/>
              <w:right w:type="dxa" w:w="110"/>
            </w:tcMar>
            <w:vAlign w:val="center"/>
          </w:tcPr>
          <w:p>
            <w:r>
              <w:rPr>
                <w:rFonts w:ascii="Times New Roman" w:cs="Times New Roman" w:eastAsia="Times New Roman" w:hAnsi="Times New Roman"/>
                <w:b/>
                <w:bCs/>
                <w:color w:val="FFFFFF"/>
                <w:sz w:val="19"/>
                <w:szCs w:val="19"/>
              </w:rPr>
              <w:t xml:space="preserve">Delivered</w:t>
            </w:r>
          </w:p>
        </w:tc>
        <w:tc>
          <w:tcPr>
            <w:tcW w:type="pct" w:w="15%"/>
            <w:tcBorders>
              <w:top w:val="single" w:color="1F3864" w:sz="4"/>
              <w:left w:val="single" w:color="1F3864" w:sz="4"/>
              <w:bottom w:val="single" w:color="1F3864" w:sz="4"/>
              <w:right w:val="single" w:color="1F3864" w:sz="4"/>
            </w:tcBorders>
            <w:shd w:fill="1F3864" w:val="clear"/>
            <w:tcMar>
              <w:top w:type="dxa" w:w="90"/>
              <w:left w:type="dxa" w:w="110"/>
              <w:bottom w:type="dxa" w:w="90"/>
              <w:right w:type="dxa" w:w="110"/>
            </w:tcMar>
            <w:vAlign w:val="center"/>
          </w:tcPr>
          <w:p>
            <w:r>
              <w:rPr>
                <w:rFonts w:ascii="Times New Roman" w:cs="Times New Roman" w:eastAsia="Times New Roman" w:hAnsi="Times New Roman"/>
                <w:b/>
                <w:bCs/>
                <w:color w:val="FFFFFF"/>
                <w:sz w:val="19"/>
                <w:szCs w:val="19"/>
              </w:rPr>
              <w:t xml:space="preserve">Quarantined</w:t>
            </w:r>
          </w:p>
        </w:tc>
      </w:tr>
      <w:tr>
        <w:tc>
          <w:tcPr>
            <w:tcW w:type="pct" w:w="22%"/>
            <w:tcBorders>
              <w:top w:val="single" w:color="BFBFBF" w:sz="4"/>
              <w:left w:val="single" w:color="BFBFBF" w:sz="4"/>
              <w:bottom w:val="single" w:color="BFBFBF" w:sz="4"/>
              <w:right w:val="single" w:color="BFBFBF" w:sz="4"/>
            </w:tcBorders>
            <w:shd w:fill="FFFFFF" w:val="clear"/>
            <w:tcMar>
              <w:top w:type="dxa" w:w="80"/>
              <w:left w:type="dxa" w:w="110"/>
              <w:bottom w:type="dxa" w:w="80"/>
              <w:right w:type="dxa" w:w="110"/>
            </w:tcMar>
            <w:vAlign w:val="center"/>
          </w:tcPr>
          <w:p>
            <w:r>
              <w:rPr>
                <w:rFonts w:ascii="Times New Roman" w:cs="Times New Roman" w:eastAsia="Times New Roman" w:hAnsi="Times New Roman"/>
                <w:b w:val="false"/>
                <w:bCs w:val="false"/>
                <w:color w:val="404040"/>
                <w:sz w:val="19"/>
                <w:szCs w:val="19"/>
              </w:rPr>
              <w:t xml:space="preserve">PayrollPhish-A</w:t>
            </w:r>
          </w:p>
        </w:tc>
        <w:tc>
          <w:tcPr>
            <w:tcW w:type="pct" w:w="22%"/>
            <w:tcBorders>
              <w:top w:val="single" w:color="BFBFBF" w:sz="4"/>
              <w:left w:val="single" w:color="BFBFBF" w:sz="4"/>
              <w:bottom w:val="single" w:color="BFBFBF" w:sz="4"/>
              <w:right w:val="single" w:color="BFBFBF" w:sz="4"/>
            </w:tcBorders>
            <w:shd w:fill="FFFFFF" w:val="clear"/>
            <w:tcMar>
              <w:top w:type="dxa" w:w="80"/>
              <w:left w:type="dxa" w:w="110"/>
              <w:bottom w:type="dxa" w:w="80"/>
              <w:right w:type="dxa" w:w="110"/>
            </w:tcMar>
            <w:vAlign w:val="center"/>
          </w:tcPr>
          <w:p>
            <w:r>
              <w:rPr>
                <w:rFonts w:ascii="Times New Roman" w:cs="Times New Roman" w:eastAsia="Times New Roman" w:hAnsi="Times New Roman"/>
                <w:b w:val="false"/>
                <w:bCs w:val="false"/>
                <w:color w:val="404040"/>
                <w:sz w:val="19"/>
                <w:szCs w:val="19"/>
              </w:rPr>
              <w:t xml:space="preserve">198.18.44.10</w:t>
            </w:r>
          </w:p>
        </w:tc>
        <w:tc>
          <w:tcPr>
            <w:tcW w:type="pct" w:w="26%"/>
            <w:tcBorders>
              <w:top w:val="single" w:color="BFBFBF" w:sz="4"/>
              <w:left w:val="single" w:color="BFBFBF" w:sz="4"/>
              <w:bottom w:val="single" w:color="BFBFBF" w:sz="4"/>
              <w:right w:val="single" w:color="BFBFBF" w:sz="4"/>
            </w:tcBorders>
            <w:shd w:fill="FFFFFF" w:val="clear"/>
            <w:tcMar>
              <w:top w:type="dxa" w:w="80"/>
              <w:left w:type="dxa" w:w="110"/>
              <w:bottom w:type="dxa" w:w="80"/>
              <w:right w:type="dxa" w:w="110"/>
            </w:tcMar>
            <w:vAlign w:val="center"/>
          </w:tcPr>
          <w:p>
            <w:r>
              <w:rPr>
                <w:rFonts w:ascii="Times New Roman" w:cs="Times New Roman" w:eastAsia="Times New Roman" w:hAnsi="Times New Roman"/>
                <w:b w:val="false"/>
                <w:bCs w:val="false"/>
                <w:color w:val="404040"/>
                <w:sz w:val="19"/>
                <w:szCs w:val="19"/>
              </w:rPr>
              <w:t xml:space="preserve">fail / fail / fail</w:t>
            </w:r>
          </w:p>
        </w:tc>
        <w:tc>
          <w:tcPr>
            <w:tcW w:type="pct" w:w="15%"/>
            <w:tcBorders>
              <w:top w:val="single" w:color="BFBFBF" w:sz="4"/>
              <w:left w:val="single" w:color="BFBFBF" w:sz="4"/>
              <w:bottom w:val="single" w:color="BFBFBF" w:sz="4"/>
              <w:right w:val="single" w:color="BFBFBF" w:sz="4"/>
            </w:tcBorders>
            <w:shd w:fill="FFFFFF" w:val="clear"/>
            <w:tcMar>
              <w:top w:type="dxa" w:w="80"/>
              <w:left w:type="dxa" w:w="110"/>
              <w:bottom w:type="dxa" w:w="80"/>
              <w:right w:type="dxa" w:w="110"/>
            </w:tcMar>
            <w:vAlign w:val="center"/>
          </w:tcPr>
          <w:p>
            <w:r>
              <w:rPr>
                <w:rFonts w:ascii="Times New Roman" w:cs="Times New Roman" w:eastAsia="Times New Roman" w:hAnsi="Times New Roman"/>
                <w:b w:val="false"/>
                <w:bCs w:val="false"/>
                <w:color w:val="404040"/>
                <w:sz w:val="19"/>
                <w:szCs w:val="19"/>
              </w:rPr>
              <w:t xml:space="preserve">25</w:t>
            </w:r>
          </w:p>
        </w:tc>
        <w:tc>
          <w:tcPr>
            <w:tcW w:type="pct" w:w="15%"/>
            <w:tcBorders>
              <w:top w:val="single" w:color="BFBFBF" w:sz="4"/>
              <w:left w:val="single" w:color="BFBFBF" w:sz="4"/>
              <w:bottom w:val="single" w:color="BFBFBF" w:sz="4"/>
              <w:right w:val="single" w:color="BFBFBF" w:sz="4"/>
            </w:tcBorders>
            <w:shd w:fill="FFFFFF" w:val="clear"/>
            <w:tcMar>
              <w:top w:type="dxa" w:w="80"/>
              <w:left w:type="dxa" w:w="110"/>
              <w:bottom w:type="dxa" w:w="80"/>
              <w:right w:type="dxa" w:w="110"/>
            </w:tcMar>
            <w:vAlign w:val="center"/>
          </w:tcPr>
          <w:p>
            <w:r>
              <w:rPr>
                <w:rFonts w:ascii="Times New Roman" w:cs="Times New Roman" w:eastAsia="Times New Roman" w:hAnsi="Times New Roman"/>
                <w:b w:val="false"/>
                <w:bCs w:val="false"/>
                <w:color w:val="404040"/>
                <w:sz w:val="19"/>
                <w:szCs w:val="19"/>
              </w:rPr>
              <w:t xml:space="preserve">7</w:t>
            </w:r>
          </w:p>
        </w:tc>
      </w:tr>
      <w:tr>
        <w:tc>
          <w:tcPr>
            <w:tcW w:type="pct" w:w="22%"/>
            <w:tcBorders>
              <w:top w:val="single" w:color="BFBFBF" w:sz="4"/>
              <w:left w:val="single" w:color="BFBFBF" w:sz="4"/>
              <w:bottom w:val="single" w:color="BFBFBF" w:sz="4"/>
              <w:right w:val="single" w:color="BFBFBF" w:sz="4"/>
            </w:tcBorders>
            <w:shd w:fill="F7F9FC" w:val="clear"/>
            <w:tcMar>
              <w:top w:type="dxa" w:w="80"/>
              <w:left w:type="dxa" w:w="110"/>
              <w:bottom w:type="dxa" w:w="80"/>
              <w:right w:type="dxa" w:w="110"/>
            </w:tcMar>
            <w:vAlign w:val="center"/>
          </w:tcPr>
          <w:p>
            <w:r>
              <w:rPr>
                <w:rFonts w:ascii="Times New Roman" w:cs="Times New Roman" w:eastAsia="Times New Roman" w:hAnsi="Times New Roman"/>
                <w:b w:val="false"/>
                <w:bCs w:val="false"/>
                <w:color w:val="404040"/>
                <w:sz w:val="19"/>
                <w:szCs w:val="19"/>
              </w:rPr>
              <w:t xml:space="preserve">PayrollPhish-A</w:t>
            </w:r>
          </w:p>
        </w:tc>
        <w:tc>
          <w:tcPr>
            <w:tcW w:type="pct" w:w="22%"/>
            <w:tcBorders>
              <w:top w:val="single" w:color="BFBFBF" w:sz="4"/>
              <w:left w:val="single" w:color="BFBFBF" w:sz="4"/>
              <w:bottom w:val="single" w:color="BFBFBF" w:sz="4"/>
              <w:right w:val="single" w:color="BFBFBF" w:sz="4"/>
            </w:tcBorders>
            <w:shd w:fill="F7F9FC" w:val="clear"/>
            <w:tcMar>
              <w:top w:type="dxa" w:w="80"/>
              <w:left w:type="dxa" w:w="110"/>
              <w:bottom w:type="dxa" w:w="80"/>
              <w:right w:type="dxa" w:w="110"/>
            </w:tcMar>
            <w:vAlign w:val="center"/>
          </w:tcPr>
          <w:p>
            <w:r>
              <w:rPr>
                <w:rFonts w:ascii="Times New Roman" w:cs="Times New Roman" w:eastAsia="Times New Roman" w:hAnsi="Times New Roman"/>
                <w:b w:val="false"/>
                <w:bCs w:val="false"/>
                <w:color w:val="404040"/>
                <w:sz w:val="19"/>
                <w:szCs w:val="19"/>
              </w:rPr>
              <w:t xml:space="preserve">198.18.44.23</w:t>
            </w:r>
          </w:p>
        </w:tc>
        <w:tc>
          <w:tcPr>
            <w:tcW w:type="pct" w:w="26%"/>
            <w:tcBorders>
              <w:top w:val="single" w:color="BFBFBF" w:sz="4"/>
              <w:left w:val="single" w:color="BFBFBF" w:sz="4"/>
              <w:bottom w:val="single" w:color="BFBFBF" w:sz="4"/>
              <w:right w:val="single" w:color="BFBFBF" w:sz="4"/>
            </w:tcBorders>
            <w:shd w:fill="F7F9FC" w:val="clear"/>
            <w:tcMar>
              <w:top w:type="dxa" w:w="80"/>
              <w:left w:type="dxa" w:w="110"/>
              <w:bottom w:type="dxa" w:w="80"/>
              <w:right w:type="dxa" w:w="110"/>
            </w:tcMar>
            <w:vAlign w:val="center"/>
          </w:tcPr>
          <w:p>
            <w:r>
              <w:rPr>
                <w:rFonts w:ascii="Times New Roman" w:cs="Times New Roman" w:eastAsia="Times New Roman" w:hAnsi="Times New Roman"/>
                <w:b w:val="false"/>
                <w:bCs w:val="false"/>
                <w:color w:val="404040"/>
                <w:sz w:val="19"/>
                <w:szCs w:val="19"/>
              </w:rPr>
              <w:t xml:space="preserve">fail / fail / fail</w:t>
            </w:r>
          </w:p>
        </w:tc>
        <w:tc>
          <w:tcPr>
            <w:tcW w:type="pct" w:w="15%"/>
            <w:tcBorders>
              <w:top w:val="single" w:color="BFBFBF" w:sz="4"/>
              <w:left w:val="single" w:color="BFBFBF" w:sz="4"/>
              <w:bottom w:val="single" w:color="BFBFBF" w:sz="4"/>
              <w:right w:val="single" w:color="BFBFBF" w:sz="4"/>
            </w:tcBorders>
            <w:shd w:fill="F7F9FC" w:val="clear"/>
            <w:tcMar>
              <w:top w:type="dxa" w:w="80"/>
              <w:left w:type="dxa" w:w="110"/>
              <w:bottom w:type="dxa" w:w="80"/>
              <w:right w:type="dxa" w:w="110"/>
            </w:tcMar>
            <w:vAlign w:val="center"/>
          </w:tcPr>
          <w:p>
            <w:r>
              <w:rPr>
                <w:rFonts w:ascii="Times New Roman" w:cs="Times New Roman" w:eastAsia="Times New Roman" w:hAnsi="Times New Roman"/>
                <w:b w:val="false"/>
                <w:bCs w:val="false"/>
                <w:color w:val="404040"/>
                <w:sz w:val="19"/>
                <w:szCs w:val="19"/>
              </w:rPr>
              <w:t xml:space="preserve">8</w:t>
            </w:r>
          </w:p>
        </w:tc>
        <w:tc>
          <w:tcPr>
            <w:tcW w:type="pct" w:w="15%"/>
            <w:tcBorders>
              <w:top w:val="single" w:color="BFBFBF" w:sz="4"/>
              <w:left w:val="single" w:color="BFBFBF" w:sz="4"/>
              <w:bottom w:val="single" w:color="BFBFBF" w:sz="4"/>
              <w:right w:val="single" w:color="BFBFBF" w:sz="4"/>
            </w:tcBorders>
            <w:shd w:fill="F7F9FC" w:val="clear"/>
            <w:tcMar>
              <w:top w:type="dxa" w:w="80"/>
              <w:left w:type="dxa" w:w="110"/>
              <w:bottom w:type="dxa" w:w="80"/>
              <w:right w:type="dxa" w:w="110"/>
            </w:tcMar>
            <w:vAlign w:val="center"/>
          </w:tcPr>
          <w:p>
            <w:r>
              <w:rPr>
                <w:rFonts w:ascii="Times New Roman" w:cs="Times New Roman" w:eastAsia="Times New Roman" w:hAnsi="Times New Roman"/>
                <w:b w:val="false"/>
                <w:bCs w:val="false"/>
                <w:color w:val="404040"/>
                <w:sz w:val="19"/>
                <w:szCs w:val="19"/>
              </w:rPr>
              <w:t xml:space="preserve">0</w:t>
            </w:r>
          </w:p>
        </w:tc>
      </w:tr>
      <w:tr>
        <w:tc>
          <w:tcPr>
            <w:tcW w:type="pct" w:w="22%"/>
            <w:tcBorders>
              <w:top w:val="single" w:color="BFBFBF" w:sz="4"/>
              <w:left w:val="single" w:color="BFBFBF" w:sz="4"/>
              <w:bottom w:val="single" w:color="BFBFBF" w:sz="4"/>
              <w:right w:val="single" w:color="BFBFBF" w:sz="4"/>
            </w:tcBorders>
            <w:shd w:fill="FFFFFF" w:val="clear"/>
            <w:tcMar>
              <w:top w:type="dxa" w:w="80"/>
              <w:left w:type="dxa" w:w="110"/>
              <w:bottom w:type="dxa" w:w="80"/>
              <w:right w:type="dxa" w:w="110"/>
            </w:tcMar>
            <w:vAlign w:val="center"/>
          </w:tcPr>
          <w:p>
            <w:r>
              <w:rPr>
                <w:rFonts w:ascii="Times New Roman" w:cs="Times New Roman" w:eastAsia="Times New Roman" w:hAnsi="Times New Roman"/>
                <w:b w:val="false"/>
                <w:bCs w:val="false"/>
                <w:color w:val="404040"/>
                <w:sz w:val="19"/>
                <w:szCs w:val="19"/>
              </w:rPr>
              <w:t xml:space="preserve">PayrollPhish-B</w:t>
            </w:r>
          </w:p>
        </w:tc>
        <w:tc>
          <w:tcPr>
            <w:tcW w:type="pct" w:w="22%"/>
            <w:tcBorders>
              <w:top w:val="single" w:color="BFBFBF" w:sz="4"/>
              <w:left w:val="single" w:color="BFBFBF" w:sz="4"/>
              <w:bottom w:val="single" w:color="BFBFBF" w:sz="4"/>
              <w:right w:val="single" w:color="BFBFBF" w:sz="4"/>
            </w:tcBorders>
            <w:shd w:fill="FFFFFF" w:val="clear"/>
            <w:tcMar>
              <w:top w:type="dxa" w:w="80"/>
              <w:left w:type="dxa" w:w="110"/>
              <w:bottom w:type="dxa" w:w="80"/>
              <w:right w:type="dxa" w:w="110"/>
            </w:tcMar>
            <w:vAlign w:val="center"/>
          </w:tcPr>
          <w:p>
            <w:r>
              <w:rPr>
                <w:rFonts w:ascii="Times New Roman" w:cs="Times New Roman" w:eastAsia="Times New Roman" w:hAnsi="Times New Roman"/>
                <w:b w:val="false"/>
                <w:bCs w:val="false"/>
                <w:color w:val="404040"/>
                <w:sz w:val="19"/>
                <w:szCs w:val="19"/>
              </w:rPr>
              <w:t xml:space="preserve">198.18.51.7</w:t>
            </w:r>
          </w:p>
        </w:tc>
        <w:tc>
          <w:tcPr>
            <w:tcW w:type="pct" w:w="26%"/>
            <w:tcBorders>
              <w:top w:val="single" w:color="BFBFBF" w:sz="4"/>
              <w:left w:val="single" w:color="BFBFBF" w:sz="4"/>
              <w:bottom w:val="single" w:color="BFBFBF" w:sz="4"/>
              <w:right w:val="single" w:color="BFBFBF" w:sz="4"/>
            </w:tcBorders>
            <w:shd w:fill="FFFFFF" w:val="clear"/>
            <w:tcMar>
              <w:top w:type="dxa" w:w="80"/>
              <w:left w:type="dxa" w:w="110"/>
              <w:bottom w:type="dxa" w:w="80"/>
              <w:right w:type="dxa" w:w="110"/>
            </w:tcMar>
            <w:vAlign w:val="center"/>
          </w:tcPr>
          <w:p>
            <w:r>
              <w:rPr>
                <w:rFonts w:ascii="Times New Roman" w:cs="Times New Roman" w:eastAsia="Times New Roman" w:hAnsi="Times New Roman"/>
                <w:b w:val="false"/>
                <w:bCs w:val="false"/>
                <w:color w:val="404040"/>
                <w:sz w:val="19"/>
                <w:szCs w:val="19"/>
              </w:rPr>
              <w:t xml:space="preserve">pass / pass / pass (lookalike domain)</w:t>
            </w:r>
          </w:p>
        </w:tc>
        <w:tc>
          <w:tcPr>
            <w:tcW w:type="pct" w:w="15%"/>
            <w:tcBorders>
              <w:top w:val="single" w:color="BFBFBF" w:sz="4"/>
              <w:left w:val="single" w:color="BFBFBF" w:sz="4"/>
              <w:bottom w:val="single" w:color="BFBFBF" w:sz="4"/>
              <w:right w:val="single" w:color="BFBFBF" w:sz="4"/>
            </w:tcBorders>
            <w:shd w:fill="FFFFFF" w:val="clear"/>
            <w:tcMar>
              <w:top w:type="dxa" w:w="80"/>
              <w:left w:type="dxa" w:w="110"/>
              <w:bottom w:type="dxa" w:w="80"/>
              <w:right w:type="dxa" w:w="110"/>
            </w:tcMar>
            <w:vAlign w:val="center"/>
          </w:tcPr>
          <w:p>
            <w:r>
              <w:rPr>
                <w:rFonts w:ascii="Times New Roman" w:cs="Times New Roman" w:eastAsia="Times New Roman" w:hAnsi="Times New Roman"/>
                <w:b w:val="false"/>
                <w:bCs w:val="false"/>
                <w:color w:val="404040"/>
                <w:sz w:val="19"/>
                <w:szCs w:val="19"/>
              </w:rPr>
              <w:t xml:space="preserve">21</w:t>
            </w:r>
          </w:p>
        </w:tc>
        <w:tc>
          <w:tcPr>
            <w:tcW w:type="pct" w:w="15%"/>
            <w:tcBorders>
              <w:top w:val="single" w:color="BFBFBF" w:sz="4"/>
              <w:left w:val="single" w:color="BFBFBF" w:sz="4"/>
              <w:bottom w:val="single" w:color="BFBFBF" w:sz="4"/>
              <w:right w:val="single" w:color="BFBFBF" w:sz="4"/>
            </w:tcBorders>
            <w:shd w:fill="FFFFFF" w:val="clear"/>
            <w:tcMar>
              <w:top w:type="dxa" w:w="80"/>
              <w:left w:type="dxa" w:w="110"/>
              <w:bottom w:type="dxa" w:w="80"/>
              <w:right w:type="dxa" w:w="110"/>
            </w:tcMar>
            <w:vAlign w:val="center"/>
          </w:tcPr>
          <w:p>
            <w:r>
              <w:rPr>
                <w:rFonts w:ascii="Times New Roman" w:cs="Times New Roman" w:eastAsia="Times New Roman" w:hAnsi="Times New Roman"/>
                <w:b w:val="false"/>
                <w:bCs w:val="false"/>
                <w:color w:val="404040"/>
                <w:sz w:val="19"/>
                <w:szCs w:val="19"/>
              </w:rPr>
              <w:t xml:space="preserve">0</w:t>
            </w:r>
          </w:p>
        </w:tc>
      </w:tr>
    </w:tbl>
    <w:p>
      <w:pPr>
        <w:spacing w:after="160" w:line="276"/>
        <w:jc w:val="both"/>
      </w:pPr>
      <w:r>
        <w:rPr>
          <w:rFonts w:ascii="Times New Roman" w:cs="Times New Roman" w:eastAsia="Times New Roman" w:hAnsi="Times New Roman"/>
          <w:color w:val="404040"/>
          <w:sz w:val="22"/>
          <w:szCs w:val="22"/>
        </w:rPr>
        <w:t xml:space="preserve">Forty distinct accounts were targeted. Thirty-six had at least one copy delivered to the inbox; four (emma.hayes, maya.chen, nina.cole, ruth.dean) had every copy quarantined by Exchange Online Protection and never saw the message — all against the fail-authentication Variant A, which EOP's own checks were able to catch. Variant B's passing authentication let it slip through to every one of its 21 targets.</w:t>
      </w:r>
    </w:p>
    <w:p>
      <w:pPr>
        <w:pStyle w:val="Heading2"/>
        <w:spacing w:after="140" w:before="320"/>
      </w:pPr>
      <w:r>
        <w:rPr>
          <w:rFonts w:ascii="Times New Roman" w:cs="Times New Roman" w:eastAsia="Times New Roman" w:hAnsi="Times New Roman"/>
          <w:b/>
          <w:bCs/>
          <w:color w:val="1F3864"/>
          <w:sz w:val="25"/>
          <w:szCs w:val="25"/>
        </w:rPr>
        <w:t xml:space="preserve">5.5 Click and credential-submission analysis</w:t>
      </w:r>
    </w:p>
    <w:p>
      <w:pPr>
        <w:spacing w:after="160" w:line="276"/>
        <w:jc w:val="both"/>
      </w:pPr>
      <w:r>
        <w:rPr>
          <w:rFonts w:ascii="Times New Roman" w:cs="Times New Roman" w:eastAsia="Times New Roman" w:hAnsi="Times New Roman"/>
          <w:color w:val="404040"/>
          <w:sz w:val="22"/>
          <w:szCs w:val="22"/>
        </w:rPr>
        <w:t xml:space="preserve">Query: message-trace click events, oldest first.</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536"/>
        <w:gridCol w:w="3072"/>
        <w:gridCol w:w="2496"/>
        <w:gridCol w:w="2496"/>
      </w:tblGrid>
      <w:tr>
        <w:trPr>
          <w:tblHeader/>
        </w:trPr>
        <w:tc>
          <w:tcPr>
            <w:tcW w:type="pct" w:w="16%"/>
            <w:tcBorders>
              <w:top w:val="single" w:color="1F3864" w:sz="4"/>
              <w:left w:val="single" w:color="1F3864" w:sz="4"/>
              <w:bottom w:val="single" w:color="1F3864" w:sz="4"/>
              <w:right w:val="single" w:color="1F3864" w:sz="4"/>
            </w:tcBorders>
            <w:shd w:fill="1F3864" w:val="clear"/>
            <w:tcMar>
              <w:top w:type="dxa" w:w="90"/>
              <w:left w:type="dxa" w:w="110"/>
              <w:bottom w:type="dxa" w:w="90"/>
              <w:right w:type="dxa" w:w="110"/>
            </w:tcMar>
            <w:vAlign w:val="center"/>
          </w:tcPr>
          <w:p>
            <w:r>
              <w:rPr>
                <w:rFonts w:ascii="Times New Roman" w:cs="Times New Roman" w:eastAsia="Times New Roman" w:hAnsi="Times New Roman"/>
                <w:b/>
                <w:bCs/>
                <w:color w:val="FFFFFF"/>
                <w:sz w:val="19"/>
                <w:szCs w:val="19"/>
              </w:rPr>
              <w:t xml:space="preserve">Time (UTC)</w:t>
            </w:r>
          </w:p>
        </w:tc>
        <w:tc>
          <w:tcPr>
            <w:tcW w:type="pct" w:w="32%"/>
            <w:tcBorders>
              <w:top w:val="single" w:color="1F3864" w:sz="4"/>
              <w:left w:val="single" w:color="1F3864" w:sz="4"/>
              <w:bottom w:val="single" w:color="1F3864" w:sz="4"/>
              <w:right w:val="single" w:color="1F3864" w:sz="4"/>
            </w:tcBorders>
            <w:shd w:fill="1F3864" w:val="clear"/>
            <w:tcMar>
              <w:top w:type="dxa" w:w="90"/>
              <w:left w:type="dxa" w:w="110"/>
              <w:bottom w:type="dxa" w:w="90"/>
              <w:right w:type="dxa" w:w="110"/>
            </w:tcMar>
            <w:vAlign w:val="center"/>
          </w:tcPr>
          <w:p>
            <w:r>
              <w:rPr>
                <w:rFonts w:ascii="Times New Roman" w:cs="Times New Roman" w:eastAsia="Times New Roman" w:hAnsi="Times New Roman"/>
                <w:b/>
                <w:bCs/>
                <w:color w:val="FFFFFF"/>
                <w:sz w:val="19"/>
                <w:szCs w:val="19"/>
              </w:rPr>
              <w:t xml:space="preserve">Recipient</w:t>
            </w:r>
          </w:p>
        </w:tc>
        <w:tc>
          <w:tcPr>
            <w:tcW w:type="pct" w:w="26%"/>
            <w:tcBorders>
              <w:top w:val="single" w:color="1F3864" w:sz="4"/>
              <w:left w:val="single" w:color="1F3864" w:sz="4"/>
              <w:bottom w:val="single" w:color="1F3864" w:sz="4"/>
              <w:right w:val="single" w:color="1F3864" w:sz="4"/>
            </w:tcBorders>
            <w:shd w:fill="1F3864" w:val="clear"/>
            <w:tcMar>
              <w:top w:type="dxa" w:w="90"/>
              <w:left w:type="dxa" w:w="110"/>
              <w:bottom w:type="dxa" w:w="90"/>
              <w:right w:type="dxa" w:w="110"/>
            </w:tcMar>
            <w:vAlign w:val="center"/>
          </w:tcPr>
          <w:p>
            <w:r>
              <w:rPr>
                <w:rFonts w:ascii="Times New Roman" w:cs="Times New Roman" w:eastAsia="Times New Roman" w:hAnsi="Times New Roman"/>
                <w:b/>
                <w:bCs/>
                <w:color w:val="FFFFFF"/>
                <w:sz w:val="19"/>
                <w:szCs w:val="19"/>
              </w:rPr>
              <w:t xml:space="preserve">Campaign</w:t>
            </w:r>
          </w:p>
        </w:tc>
        <w:tc>
          <w:tcPr>
            <w:tcW w:type="pct" w:w="26%"/>
            <w:tcBorders>
              <w:top w:val="single" w:color="1F3864" w:sz="4"/>
              <w:left w:val="single" w:color="1F3864" w:sz="4"/>
              <w:bottom w:val="single" w:color="1F3864" w:sz="4"/>
              <w:right w:val="single" w:color="1F3864" w:sz="4"/>
            </w:tcBorders>
            <w:shd w:fill="1F3864" w:val="clear"/>
            <w:tcMar>
              <w:top w:type="dxa" w:w="90"/>
              <w:left w:type="dxa" w:w="110"/>
              <w:bottom w:type="dxa" w:w="90"/>
              <w:right w:type="dxa" w:w="110"/>
            </w:tcMar>
            <w:vAlign w:val="center"/>
          </w:tcPr>
          <w:p>
            <w:r>
              <w:rPr>
                <w:rFonts w:ascii="Times New Roman" w:cs="Times New Roman" w:eastAsia="Times New Roman" w:hAnsi="Times New Roman"/>
                <w:b/>
                <w:bCs/>
                <w:color w:val="FFFFFF"/>
                <w:sz w:val="19"/>
                <w:szCs w:val="19"/>
              </w:rPr>
              <w:t xml:space="preserve">Credentials submitted?</w:t>
            </w:r>
          </w:p>
        </w:tc>
      </w:tr>
      <w:tr>
        <w:tc>
          <w:tcPr>
            <w:tcW w:type="pct" w:w="16%"/>
            <w:tcBorders>
              <w:top w:val="single" w:color="BFBFBF" w:sz="4"/>
              <w:left w:val="single" w:color="BFBFBF" w:sz="4"/>
              <w:bottom w:val="single" w:color="BFBFBF" w:sz="4"/>
              <w:right w:val="single" w:color="BFBFBF" w:sz="4"/>
            </w:tcBorders>
            <w:shd w:fill="FFFFFF" w:val="clear"/>
            <w:tcMar>
              <w:top w:type="dxa" w:w="80"/>
              <w:left w:type="dxa" w:w="110"/>
              <w:bottom w:type="dxa" w:w="80"/>
              <w:right w:type="dxa" w:w="110"/>
            </w:tcMar>
            <w:vAlign w:val="center"/>
          </w:tcPr>
          <w:p>
            <w:r>
              <w:rPr>
                <w:rFonts w:ascii="Times New Roman" w:cs="Times New Roman" w:eastAsia="Times New Roman" w:hAnsi="Times New Roman"/>
                <w:b w:val="false"/>
                <w:bCs w:val="false"/>
                <w:color w:val="404040"/>
                <w:sz w:val="19"/>
                <w:szCs w:val="19"/>
              </w:rPr>
              <w:t xml:space="preserve">08:39:03</w:t>
            </w:r>
          </w:p>
        </w:tc>
        <w:tc>
          <w:tcPr>
            <w:tcW w:type="pct" w:w="32%"/>
            <w:tcBorders>
              <w:top w:val="single" w:color="BFBFBF" w:sz="4"/>
              <w:left w:val="single" w:color="BFBFBF" w:sz="4"/>
              <w:bottom w:val="single" w:color="BFBFBF" w:sz="4"/>
              <w:right w:val="single" w:color="BFBFBF" w:sz="4"/>
            </w:tcBorders>
            <w:shd w:fill="FFFFFF" w:val="clear"/>
            <w:tcMar>
              <w:top w:type="dxa" w:w="80"/>
              <w:left w:type="dxa" w:w="110"/>
              <w:bottom w:type="dxa" w:w="80"/>
              <w:right w:type="dxa" w:w="110"/>
            </w:tcMar>
            <w:vAlign w:val="center"/>
          </w:tcPr>
          <w:p>
            <w:r>
              <w:rPr>
                <w:rFonts w:ascii="Times New Roman" w:cs="Times New Roman" w:eastAsia="Times New Roman" w:hAnsi="Times New Roman"/>
                <w:b w:val="false"/>
                <w:bCs w:val="false"/>
                <w:color w:val="404040"/>
                <w:sz w:val="19"/>
                <w:szCs w:val="19"/>
              </w:rPr>
              <w:t xml:space="preserve">seth.lane@cloudora.io</w:t>
            </w:r>
          </w:p>
        </w:tc>
        <w:tc>
          <w:tcPr>
            <w:tcW w:type="pct" w:w="26%"/>
            <w:tcBorders>
              <w:top w:val="single" w:color="BFBFBF" w:sz="4"/>
              <w:left w:val="single" w:color="BFBFBF" w:sz="4"/>
              <w:bottom w:val="single" w:color="BFBFBF" w:sz="4"/>
              <w:right w:val="single" w:color="BFBFBF" w:sz="4"/>
            </w:tcBorders>
            <w:shd w:fill="FFFFFF" w:val="clear"/>
            <w:tcMar>
              <w:top w:type="dxa" w:w="80"/>
              <w:left w:type="dxa" w:w="110"/>
              <w:bottom w:type="dxa" w:w="80"/>
              <w:right w:type="dxa" w:w="110"/>
            </w:tcMar>
            <w:vAlign w:val="center"/>
          </w:tcPr>
          <w:p>
            <w:r>
              <w:rPr>
                <w:rFonts w:ascii="Times New Roman" w:cs="Times New Roman" w:eastAsia="Times New Roman" w:hAnsi="Times New Roman"/>
                <w:b w:val="false"/>
                <w:bCs w:val="false"/>
                <w:color w:val="404040"/>
                <w:sz w:val="19"/>
                <w:szCs w:val="19"/>
              </w:rPr>
              <w:t xml:space="preserve">PayrollPhish-A</w:t>
            </w:r>
          </w:p>
        </w:tc>
        <w:tc>
          <w:tcPr>
            <w:tcW w:type="pct" w:w="26%"/>
            <w:tcBorders>
              <w:top w:val="single" w:color="BFBFBF" w:sz="4"/>
              <w:left w:val="single" w:color="BFBFBF" w:sz="4"/>
              <w:bottom w:val="single" w:color="BFBFBF" w:sz="4"/>
              <w:right w:val="single" w:color="BFBFBF" w:sz="4"/>
            </w:tcBorders>
            <w:shd w:fill="FFFFFF" w:val="clear"/>
            <w:tcMar>
              <w:top w:type="dxa" w:w="80"/>
              <w:left w:type="dxa" w:w="110"/>
              <w:bottom w:type="dxa" w:w="80"/>
              <w:right w:type="dxa" w:w="110"/>
            </w:tcMar>
            <w:vAlign w:val="center"/>
          </w:tcPr>
          <w:p>
            <w:r>
              <w:rPr>
                <w:rFonts w:ascii="Times New Roman" w:cs="Times New Roman" w:eastAsia="Times New Roman" w:hAnsi="Times New Roman"/>
                <w:b w:val="false"/>
                <w:bCs w:val="false"/>
                <w:color w:val="404040"/>
                <w:sz w:val="19"/>
                <w:szCs w:val="19"/>
              </w:rPr>
              <w:t xml:space="preserve">No</w:t>
            </w:r>
          </w:p>
        </w:tc>
      </w:tr>
      <w:tr>
        <w:tc>
          <w:tcPr>
            <w:tcW w:type="pct" w:w="16%"/>
            <w:tcBorders>
              <w:top w:val="single" w:color="BFBFBF" w:sz="4"/>
              <w:left w:val="single" w:color="BFBFBF" w:sz="4"/>
              <w:bottom w:val="single" w:color="BFBFBF" w:sz="4"/>
              <w:right w:val="single" w:color="BFBFBF" w:sz="4"/>
            </w:tcBorders>
            <w:shd w:fill="F7F9FC" w:val="clear"/>
            <w:tcMar>
              <w:top w:type="dxa" w:w="80"/>
              <w:left w:type="dxa" w:w="110"/>
              <w:bottom w:type="dxa" w:w="80"/>
              <w:right w:type="dxa" w:w="110"/>
            </w:tcMar>
            <w:vAlign w:val="center"/>
          </w:tcPr>
          <w:p>
            <w:r>
              <w:rPr>
                <w:rFonts w:ascii="Times New Roman" w:cs="Times New Roman" w:eastAsia="Times New Roman" w:hAnsi="Times New Roman"/>
                <w:b w:val="false"/>
                <w:bCs w:val="false"/>
                <w:color w:val="404040"/>
                <w:sz w:val="19"/>
                <w:szCs w:val="19"/>
              </w:rPr>
              <w:t xml:space="preserve">08:47:12</w:t>
            </w:r>
          </w:p>
        </w:tc>
        <w:tc>
          <w:tcPr>
            <w:tcW w:type="pct" w:w="32%"/>
            <w:tcBorders>
              <w:top w:val="single" w:color="BFBFBF" w:sz="4"/>
              <w:left w:val="single" w:color="BFBFBF" w:sz="4"/>
              <w:bottom w:val="single" w:color="BFBFBF" w:sz="4"/>
              <w:right w:val="single" w:color="BFBFBF" w:sz="4"/>
            </w:tcBorders>
            <w:shd w:fill="F7F9FC" w:val="clear"/>
            <w:tcMar>
              <w:top w:type="dxa" w:w="80"/>
              <w:left w:type="dxa" w:w="110"/>
              <w:bottom w:type="dxa" w:w="80"/>
              <w:right w:type="dxa" w:w="110"/>
            </w:tcMar>
            <w:vAlign w:val="center"/>
          </w:tcPr>
          <w:p>
            <w:r>
              <w:rPr>
                <w:rFonts w:ascii="Times New Roman" w:cs="Times New Roman" w:eastAsia="Times New Roman" w:hAnsi="Times New Roman"/>
                <w:b w:val="false"/>
                <w:bCs w:val="false"/>
                <w:color w:val="404040"/>
                <w:sz w:val="19"/>
                <w:szCs w:val="19"/>
              </w:rPr>
              <w:t xml:space="preserve">freya.lynn@cloudora.io</w:t>
            </w:r>
          </w:p>
        </w:tc>
        <w:tc>
          <w:tcPr>
            <w:tcW w:type="pct" w:w="26%"/>
            <w:tcBorders>
              <w:top w:val="single" w:color="BFBFBF" w:sz="4"/>
              <w:left w:val="single" w:color="BFBFBF" w:sz="4"/>
              <w:bottom w:val="single" w:color="BFBFBF" w:sz="4"/>
              <w:right w:val="single" w:color="BFBFBF" w:sz="4"/>
            </w:tcBorders>
            <w:shd w:fill="F7F9FC" w:val="clear"/>
            <w:tcMar>
              <w:top w:type="dxa" w:w="80"/>
              <w:left w:type="dxa" w:w="110"/>
              <w:bottom w:type="dxa" w:w="80"/>
              <w:right w:type="dxa" w:w="110"/>
            </w:tcMar>
            <w:vAlign w:val="center"/>
          </w:tcPr>
          <w:p>
            <w:r>
              <w:rPr>
                <w:rFonts w:ascii="Times New Roman" w:cs="Times New Roman" w:eastAsia="Times New Roman" w:hAnsi="Times New Roman"/>
                <w:b w:val="false"/>
                <w:bCs w:val="false"/>
                <w:color w:val="404040"/>
                <w:sz w:val="19"/>
                <w:szCs w:val="19"/>
              </w:rPr>
              <w:t xml:space="preserve">PayrollPhish-A</w:t>
            </w:r>
          </w:p>
        </w:tc>
        <w:tc>
          <w:tcPr>
            <w:tcW w:type="pct" w:w="26%"/>
            <w:tcBorders>
              <w:top w:val="single" w:color="BFBFBF" w:sz="4"/>
              <w:left w:val="single" w:color="BFBFBF" w:sz="4"/>
              <w:bottom w:val="single" w:color="BFBFBF" w:sz="4"/>
              <w:right w:val="single" w:color="BFBFBF" w:sz="4"/>
            </w:tcBorders>
            <w:shd w:fill="F7F9FC" w:val="clear"/>
            <w:tcMar>
              <w:top w:type="dxa" w:w="80"/>
              <w:left w:type="dxa" w:w="110"/>
              <w:bottom w:type="dxa" w:w="80"/>
              <w:right w:type="dxa" w:w="110"/>
            </w:tcMar>
            <w:vAlign w:val="center"/>
          </w:tcPr>
          <w:p>
            <w:r>
              <w:rPr>
                <w:rFonts w:ascii="Times New Roman" w:cs="Times New Roman" w:eastAsia="Times New Roman" w:hAnsi="Times New Roman"/>
                <w:b w:val="false"/>
                <w:bCs w:val="false"/>
                <w:color w:val="404040"/>
                <w:sz w:val="19"/>
                <w:szCs w:val="19"/>
              </w:rPr>
              <w:t xml:space="preserve">Yes</w:t>
            </w:r>
          </w:p>
        </w:tc>
      </w:tr>
      <w:tr>
        <w:tc>
          <w:tcPr>
            <w:tcW w:type="pct" w:w="16%"/>
            <w:tcBorders>
              <w:top w:val="single" w:color="BFBFBF" w:sz="4"/>
              <w:left w:val="single" w:color="BFBFBF" w:sz="4"/>
              <w:bottom w:val="single" w:color="BFBFBF" w:sz="4"/>
              <w:right w:val="single" w:color="BFBFBF" w:sz="4"/>
            </w:tcBorders>
            <w:shd w:fill="FFFFFF" w:val="clear"/>
            <w:tcMar>
              <w:top w:type="dxa" w:w="80"/>
              <w:left w:type="dxa" w:w="110"/>
              <w:bottom w:type="dxa" w:w="80"/>
              <w:right w:type="dxa" w:w="110"/>
            </w:tcMar>
            <w:vAlign w:val="center"/>
          </w:tcPr>
          <w:p>
            <w:r>
              <w:rPr>
                <w:rFonts w:ascii="Times New Roman" w:cs="Times New Roman" w:eastAsia="Times New Roman" w:hAnsi="Times New Roman"/>
                <w:b w:val="false"/>
                <w:bCs w:val="false"/>
                <w:color w:val="404040"/>
                <w:sz w:val="19"/>
                <w:szCs w:val="19"/>
              </w:rPr>
              <w:t xml:space="preserve">09:05:44</w:t>
            </w:r>
          </w:p>
        </w:tc>
        <w:tc>
          <w:tcPr>
            <w:tcW w:type="pct" w:w="32%"/>
            <w:tcBorders>
              <w:top w:val="single" w:color="BFBFBF" w:sz="4"/>
              <w:left w:val="single" w:color="BFBFBF" w:sz="4"/>
              <w:bottom w:val="single" w:color="BFBFBF" w:sz="4"/>
              <w:right w:val="single" w:color="BFBFBF" w:sz="4"/>
            </w:tcBorders>
            <w:shd w:fill="FFFFFF" w:val="clear"/>
            <w:tcMar>
              <w:top w:type="dxa" w:w="80"/>
              <w:left w:type="dxa" w:w="110"/>
              <w:bottom w:type="dxa" w:w="80"/>
              <w:right w:type="dxa" w:w="110"/>
            </w:tcMar>
            <w:vAlign w:val="center"/>
          </w:tcPr>
          <w:p>
            <w:r>
              <w:rPr>
                <w:rFonts w:ascii="Times New Roman" w:cs="Times New Roman" w:eastAsia="Times New Roman" w:hAnsi="Times New Roman"/>
                <w:b w:val="false"/>
                <w:bCs w:val="false"/>
                <w:color w:val="404040"/>
                <w:sz w:val="19"/>
                <w:szCs w:val="19"/>
              </w:rPr>
              <w:t xml:space="preserve">ryan.boyd@cloudora.io</w:t>
            </w:r>
          </w:p>
        </w:tc>
        <w:tc>
          <w:tcPr>
            <w:tcW w:type="pct" w:w="26%"/>
            <w:tcBorders>
              <w:top w:val="single" w:color="BFBFBF" w:sz="4"/>
              <w:left w:val="single" w:color="BFBFBF" w:sz="4"/>
              <w:bottom w:val="single" w:color="BFBFBF" w:sz="4"/>
              <w:right w:val="single" w:color="BFBFBF" w:sz="4"/>
            </w:tcBorders>
            <w:shd w:fill="FFFFFF" w:val="clear"/>
            <w:tcMar>
              <w:top w:type="dxa" w:w="80"/>
              <w:left w:type="dxa" w:w="110"/>
              <w:bottom w:type="dxa" w:w="80"/>
              <w:right w:type="dxa" w:w="110"/>
            </w:tcMar>
            <w:vAlign w:val="center"/>
          </w:tcPr>
          <w:p>
            <w:r>
              <w:rPr>
                <w:rFonts w:ascii="Times New Roman" w:cs="Times New Roman" w:eastAsia="Times New Roman" w:hAnsi="Times New Roman"/>
                <w:b w:val="false"/>
                <w:bCs w:val="false"/>
                <w:color w:val="404040"/>
                <w:sz w:val="19"/>
                <w:szCs w:val="19"/>
              </w:rPr>
              <w:t xml:space="preserve">PayrollPhish-B</w:t>
            </w:r>
          </w:p>
        </w:tc>
        <w:tc>
          <w:tcPr>
            <w:tcW w:type="pct" w:w="26%"/>
            <w:tcBorders>
              <w:top w:val="single" w:color="BFBFBF" w:sz="4"/>
              <w:left w:val="single" w:color="BFBFBF" w:sz="4"/>
              <w:bottom w:val="single" w:color="BFBFBF" w:sz="4"/>
              <w:right w:val="single" w:color="BFBFBF" w:sz="4"/>
            </w:tcBorders>
            <w:shd w:fill="FFFFFF" w:val="clear"/>
            <w:tcMar>
              <w:top w:type="dxa" w:w="80"/>
              <w:left w:type="dxa" w:w="110"/>
              <w:bottom w:type="dxa" w:w="80"/>
              <w:right w:type="dxa" w:w="110"/>
            </w:tcMar>
            <w:vAlign w:val="center"/>
          </w:tcPr>
          <w:p>
            <w:r>
              <w:rPr>
                <w:rFonts w:ascii="Times New Roman" w:cs="Times New Roman" w:eastAsia="Times New Roman" w:hAnsi="Times New Roman"/>
                <w:b w:val="false"/>
                <w:bCs w:val="false"/>
                <w:color w:val="404040"/>
                <w:sz w:val="19"/>
                <w:szCs w:val="19"/>
              </w:rPr>
              <w:t xml:space="preserve">Yes</w:t>
            </w:r>
          </w:p>
        </w:tc>
      </w:tr>
      <w:tr>
        <w:tc>
          <w:tcPr>
            <w:tcW w:type="pct" w:w="16%"/>
            <w:tcBorders>
              <w:top w:val="single" w:color="BFBFBF" w:sz="4"/>
              <w:left w:val="single" w:color="BFBFBF" w:sz="4"/>
              <w:bottom w:val="single" w:color="BFBFBF" w:sz="4"/>
              <w:right w:val="single" w:color="BFBFBF" w:sz="4"/>
            </w:tcBorders>
            <w:shd w:fill="F7F9FC" w:val="clear"/>
            <w:tcMar>
              <w:top w:type="dxa" w:w="80"/>
              <w:left w:type="dxa" w:w="110"/>
              <w:bottom w:type="dxa" w:w="80"/>
              <w:right w:type="dxa" w:w="110"/>
            </w:tcMar>
            <w:vAlign w:val="center"/>
          </w:tcPr>
          <w:p>
            <w:r>
              <w:rPr>
                <w:rFonts w:ascii="Times New Roman" w:cs="Times New Roman" w:eastAsia="Times New Roman" w:hAnsi="Times New Roman"/>
                <w:b w:val="false"/>
                <w:bCs w:val="false"/>
                <w:color w:val="404040"/>
                <w:sz w:val="19"/>
                <w:szCs w:val="19"/>
              </w:rPr>
              <w:t xml:space="preserve">09:58:50</w:t>
            </w:r>
          </w:p>
        </w:tc>
        <w:tc>
          <w:tcPr>
            <w:tcW w:type="pct" w:w="32%"/>
            <w:tcBorders>
              <w:top w:val="single" w:color="BFBFBF" w:sz="4"/>
              <w:left w:val="single" w:color="BFBFBF" w:sz="4"/>
              <w:bottom w:val="single" w:color="BFBFBF" w:sz="4"/>
              <w:right w:val="single" w:color="BFBFBF" w:sz="4"/>
            </w:tcBorders>
            <w:shd w:fill="F7F9FC" w:val="clear"/>
            <w:tcMar>
              <w:top w:type="dxa" w:w="80"/>
              <w:left w:type="dxa" w:w="110"/>
              <w:bottom w:type="dxa" w:w="80"/>
              <w:right w:type="dxa" w:w="110"/>
            </w:tcMar>
            <w:vAlign w:val="center"/>
          </w:tcPr>
          <w:p>
            <w:r>
              <w:rPr>
                <w:rFonts w:ascii="Times New Roman" w:cs="Times New Roman" w:eastAsia="Times New Roman" w:hAnsi="Times New Roman"/>
                <w:b w:val="false"/>
                <w:bCs w:val="false"/>
                <w:color w:val="404040"/>
                <w:sz w:val="19"/>
                <w:szCs w:val="19"/>
              </w:rPr>
              <w:t xml:space="preserve">hugo.marsh@cloudora.io</w:t>
            </w:r>
          </w:p>
        </w:tc>
        <w:tc>
          <w:tcPr>
            <w:tcW w:type="pct" w:w="26%"/>
            <w:tcBorders>
              <w:top w:val="single" w:color="BFBFBF" w:sz="4"/>
              <w:left w:val="single" w:color="BFBFBF" w:sz="4"/>
              <w:bottom w:val="single" w:color="BFBFBF" w:sz="4"/>
              <w:right w:val="single" w:color="BFBFBF" w:sz="4"/>
            </w:tcBorders>
            <w:shd w:fill="F7F9FC" w:val="clear"/>
            <w:tcMar>
              <w:top w:type="dxa" w:w="80"/>
              <w:left w:type="dxa" w:w="110"/>
              <w:bottom w:type="dxa" w:w="80"/>
              <w:right w:type="dxa" w:w="110"/>
            </w:tcMar>
            <w:vAlign w:val="center"/>
          </w:tcPr>
          <w:p>
            <w:r>
              <w:rPr>
                <w:rFonts w:ascii="Times New Roman" w:cs="Times New Roman" w:eastAsia="Times New Roman" w:hAnsi="Times New Roman"/>
                <w:b w:val="false"/>
                <w:bCs w:val="false"/>
                <w:color w:val="404040"/>
                <w:sz w:val="19"/>
                <w:szCs w:val="19"/>
              </w:rPr>
              <w:t xml:space="preserve">PayrollPhish-B</w:t>
            </w:r>
          </w:p>
        </w:tc>
        <w:tc>
          <w:tcPr>
            <w:tcW w:type="pct" w:w="26%"/>
            <w:tcBorders>
              <w:top w:val="single" w:color="BFBFBF" w:sz="4"/>
              <w:left w:val="single" w:color="BFBFBF" w:sz="4"/>
              <w:bottom w:val="single" w:color="BFBFBF" w:sz="4"/>
              <w:right w:val="single" w:color="BFBFBF" w:sz="4"/>
            </w:tcBorders>
            <w:shd w:fill="F7F9FC" w:val="clear"/>
            <w:tcMar>
              <w:top w:type="dxa" w:w="80"/>
              <w:left w:type="dxa" w:w="110"/>
              <w:bottom w:type="dxa" w:w="80"/>
              <w:right w:type="dxa" w:w="110"/>
            </w:tcMar>
            <w:vAlign w:val="center"/>
          </w:tcPr>
          <w:p>
            <w:r>
              <w:rPr>
                <w:rFonts w:ascii="Times New Roman" w:cs="Times New Roman" w:eastAsia="Times New Roman" w:hAnsi="Times New Roman"/>
                <w:b w:val="false"/>
                <w:bCs w:val="false"/>
                <w:color w:val="404040"/>
                <w:sz w:val="19"/>
                <w:szCs w:val="19"/>
              </w:rPr>
              <w:t xml:space="preserve">No</w:t>
            </w:r>
          </w:p>
        </w:tc>
      </w:tr>
      <w:tr>
        <w:tc>
          <w:tcPr>
            <w:tcW w:type="pct" w:w="16%"/>
            <w:tcBorders>
              <w:top w:val="single" w:color="BFBFBF" w:sz="4"/>
              <w:left w:val="single" w:color="BFBFBF" w:sz="4"/>
              <w:bottom w:val="single" w:color="BFBFBF" w:sz="4"/>
              <w:right w:val="single" w:color="BFBFBF" w:sz="4"/>
            </w:tcBorders>
            <w:shd w:fill="FFFFFF" w:val="clear"/>
            <w:tcMar>
              <w:top w:type="dxa" w:w="80"/>
              <w:left w:type="dxa" w:w="110"/>
              <w:bottom w:type="dxa" w:w="80"/>
              <w:right w:type="dxa" w:w="110"/>
            </w:tcMar>
            <w:vAlign w:val="center"/>
          </w:tcPr>
          <w:p>
            <w:r>
              <w:rPr>
                <w:rFonts w:ascii="Times New Roman" w:cs="Times New Roman" w:eastAsia="Times New Roman" w:hAnsi="Times New Roman"/>
                <w:b w:val="false"/>
                <w:bCs w:val="false"/>
                <w:color w:val="404040"/>
                <w:sz w:val="19"/>
                <w:szCs w:val="19"/>
              </w:rPr>
              <w:t xml:space="preserve">10:12:37</w:t>
            </w:r>
          </w:p>
        </w:tc>
        <w:tc>
          <w:tcPr>
            <w:tcW w:type="pct" w:w="32%"/>
            <w:tcBorders>
              <w:top w:val="single" w:color="BFBFBF" w:sz="4"/>
              <w:left w:val="single" w:color="BFBFBF" w:sz="4"/>
              <w:bottom w:val="single" w:color="BFBFBF" w:sz="4"/>
              <w:right w:val="single" w:color="BFBFBF" w:sz="4"/>
            </w:tcBorders>
            <w:shd w:fill="FFFFFF" w:val="clear"/>
            <w:tcMar>
              <w:top w:type="dxa" w:w="80"/>
              <w:left w:type="dxa" w:w="110"/>
              <w:bottom w:type="dxa" w:w="80"/>
              <w:right w:type="dxa" w:w="110"/>
            </w:tcMar>
            <w:vAlign w:val="center"/>
          </w:tcPr>
          <w:p>
            <w:r>
              <w:rPr>
                <w:rFonts w:ascii="Times New Roman" w:cs="Times New Roman" w:eastAsia="Times New Roman" w:hAnsi="Times New Roman"/>
                <w:b w:val="false"/>
                <w:bCs w:val="false"/>
                <w:color w:val="404040"/>
                <w:sz w:val="19"/>
                <w:szCs w:val="19"/>
              </w:rPr>
              <w:t xml:space="preserve">chloe.price@cloudora.io</w:t>
            </w:r>
          </w:p>
        </w:tc>
        <w:tc>
          <w:tcPr>
            <w:tcW w:type="pct" w:w="26%"/>
            <w:tcBorders>
              <w:top w:val="single" w:color="BFBFBF" w:sz="4"/>
              <w:left w:val="single" w:color="BFBFBF" w:sz="4"/>
              <w:bottom w:val="single" w:color="BFBFBF" w:sz="4"/>
              <w:right w:val="single" w:color="BFBFBF" w:sz="4"/>
            </w:tcBorders>
            <w:shd w:fill="FFFFFF" w:val="clear"/>
            <w:tcMar>
              <w:top w:type="dxa" w:w="80"/>
              <w:left w:type="dxa" w:w="110"/>
              <w:bottom w:type="dxa" w:w="80"/>
              <w:right w:type="dxa" w:w="110"/>
            </w:tcMar>
            <w:vAlign w:val="center"/>
          </w:tcPr>
          <w:p>
            <w:r>
              <w:rPr>
                <w:rFonts w:ascii="Times New Roman" w:cs="Times New Roman" w:eastAsia="Times New Roman" w:hAnsi="Times New Roman"/>
                <w:b w:val="false"/>
                <w:bCs w:val="false"/>
                <w:color w:val="404040"/>
                <w:sz w:val="19"/>
                <w:szCs w:val="19"/>
              </w:rPr>
              <w:t xml:space="preserve">PayrollPhish-A</w:t>
            </w:r>
          </w:p>
        </w:tc>
        <w:tc>
          <w:tcPr>
            <w:tcW w:type="pct" w:w="26%"/>
            <w:tcBorders>
              <w:top w:val="single" w:color="BFBFBF" w:sz="4"/>
              <w:left w:val="single" w:color="BFBFBF" w:sz="4"/>
              <w:bottom w:val="single" w:color="BFBFBF" w:sz="4"/>
              <w:right w:val="single" w:color="BFBFBF" w:sz="4"/>
            </w:tcBorders>
            <w:shd w:fill="FFFFFF" w:val="clear"/>
            <w:tcMar>
              <w:top w:type="dxa" w:w="80"/>
              <w:left w:type="dxa" w:w="110"/>
              <w:bottom w:type="dxa" w:w="80"/>
              <w:right w:type="dxa" w:w="110"/>
            </w:tcMar>
            <w:vAlign w:val="center"/>
          </w:tcPr>
          <w:p>
            <w:r>
              <w:rPr>
                <w:rFonts w:ascii="Times New Roman" w:cs="Times New Roman" w:eastAsia="Times New Roman" w:hAnsi="Times New Roman"/>
                <w:b w:val="false"/>
                <w:bCs w:val="false"/>
                <w:color w:val="404040"/>
                <w:sz w:val="19"/>
                <w:szCs w:val="19"/>
              </w:rPr>
              <w:t xml:space="preserve">No</w:t>
            </w:r>
          </w:p>
        </w:tc>
      </w:tr>
      <w:tr>
        <w:tc>
          <w:tcPr>
            <w:tcW w:type="pct" w:w="16%"/>
            <w:tcBorders>
              <w:top w:val="single" w:color="BFBFBF" w:sz="4"/>
              <w:left w:val="single" w:color="BFBFBF" w:sz="4"/>
              <w:bottom w:val="single" w:color="BFBFBF" w:sz="4"/>
              <w:right w:val="single" w:color="BFBFBF" w:sz="4"/>
            </w:tcBorders>
            <w:shd w:fill="F7F9FC" w:val="clear"/>
            <w:tcMar>
              <w:top w:type="dxa" w:w="80"/>
              <w:left w:type="dxa" w:w="110"/>
              <w:bottom w:type="dxa" w:w="80"/>
              <w:right w:type="dxa" w:w="110"/>
            </w:tcMar>
            <w:vAlign w:val="center"/>
          </w:tcPr>
          <w:p>
            <w:r>
              <w:rPr>
                <w:rFonts w:ascii="Times New Roman" w:cs="Times New Roman" w:eastAsia="Times New Roman" w:hAnsi="Times New Roman"/>
                <w:b w:val="false"/>
                <w:bCs w:val="false"/>
                <w:color w:val="404040"/>
                <w:sz w:val="19"/>
                <w:szCs w:val="19"/>
              </w:rPr>
              <w:t xml:space="preserve">11:47:19</w:t>
            </w:r>
          </w:p>
        </w:tc>
        <w:tc>
          <w:tcPr>
            <w:tcW w:type="pct" w:w="32%"/>
            <w:tcBorders>
              <w:top w:val="single" w:color="BFBFBF" w:sz="4"/>
              <w:left w:val="single" w:color="BFBFBF" w:sz="4"/>
              <w:bottom w:val="single" w:color="BFBFBF" w:sz="4"/>
              <w:right w:val="single" w:color="BFBFBF" w:sz="4"/>
            </w:tcBorders>
            <w:shd w:fill="F7F9FC" w:val="clear"/>
            <w:tcMar>
              <w:top w:type="dxa" w:w="80"/>
              <w:left w:type="dxa" w:w="110"/>
              <w:bottom w:type="dxa" w:w="80"/>
              <w:right w:type="dxa" w:w="110"/>
            </w:tcMar>
            <w:vAlign w:val="center"/>
          </w:tcPr>
          <w:p>
            <w:r>
              <w:rPr>
                <w:rFonts w:ascii="Times New Roman" w:cs="Times New Roman" w:eastAsia="Times New Roman" w:hAnsi="Times New Roman"/>
                <w:b w:val="false"/>
                <w:bCs w:val="false"/>
                <w:color w:val="404040"/>
                <w:sz w:val="19"/>
                <w:szCs w:val="19"/>
              </w:rPr>
              <w:t xml:space="preserve">dina.said@cloudora.io</w:t>
            </w:r>
          </w:p>
        </w:tc>
        <w:tc>
          <w:tcPr>
            <w:tcW w:type="pct" w:w="26%"/>
            <w:tcBorders>
              <w:top w:val="single" w:color="BFBFBF" w:sz="4"/>
              <w:left w:val="single" w:color="BFBFBF" w:sz="4"/>
              <w:bottom w:val="single" w:color="BFBFBF" w:sz="4"/>
              <w:right w:val="single" w:color="BFBFBF" w:sz="4"/>
            </w:tcBorders>
            <w:shd w:fill="F7F9FC" w:val="clear"/>
            <w:tcMar>
              <w:top w:type="dxa" w:w="80"/>
              <w:left w:type="dxa" w:w="110"/>
              <w:bottom w:type="dxa" w:w="80"/>
              <w:right w:type="dxa" w:w="110"/>
            </w:tcMar>
            <w:vAlign w:val="center"/>
          </w:tcPr>
          <w:p>
            <w:r>
              <w:rPr>
                <w:rFonts w:ascii="Times New Roman" w:cs="Times New Roman" w:eastAsia="Times New Roman" w:hAnsi="Times New Roman"/>
                <w:b w:val="false"/>
                <w:bCs w:val="false"/>
                <w:color w:val="404040"/>
                <w:sz w:val="19"/>
                <w:szCs w:val="19"/>
              </w:rPr>
              <w:t xml:space="preserve">PayrollPhish-A</w:t>
            </w:r>
          </w:p>
        </w:tc>
        <w:tc>
          <w:tcPr>
            <w:tcW w:type="pct" w:w="26%"/>
            <w:tcBorders>
              <w:top w:val="single" w:color="BFBFBF" w:sz="4"/>
              <w:left w:val="single" w:color="BFBFBF" w:sz="4"/>
              <w:bottom w:val="single" w:color="BFBFBF" w:sz="4"/>
              <w:right w:val="single" w:color="BFBFBF" w:sz="4"/>
            </w:tcBorders>
            <w:shd w:fill="F7F9FC" w:val="clear"/>
            <w:tcMar>
              <w:top w:type="dxa" w:w="80"/>
              <w:left w:type="dxa" w:w="110"/>
              <w:bottom w:type="dxa" w:w="80"/>
              <w:right w:type="dxa" w:w="110"/>
            </w:tcMar>
            <w:vAlign w:val="center"/>
          </w:tcPr>
          <w:p>
            <w:r>
              <w:rPr>
                <w:rFonts w:ascii="Times New Roman" w:cs="Times New Roman" w:eastAsia="Times New Roman" w:hAnsi="Times New Roman"/>
                <w:b w:val="false"/>
                <w:bCs w:val="false"/>
                <w:color w:val="404040"/>
                <w:sz w:val="19"/>
                <w:szCs w:val="19"/>
              </w:rPr>
              <w:t xml:space="preserve">No</w:t>
            </w:r>
          </w:p>
        </w:tc>
      </w:tr>
    </w:tbl>
    <w:p>
      <w:pPr>
        <w:spacing w:after="160" w:line="276"/>
        <w:jc w:val="both"/>
      </w:pPr>
      <w:r>
        <w:rPr>
          <w:rFonts w:ascii="Times New Roman" w:cs="Times New Roman" w:eastAsia="Times New Roman" w:hAnsi="Times New Roman"/>
          <w:color w:val="404040"/>
          <w:sz w:val="22"/>
          <w:szCs w:val="22"/>
        </w:rPr>
        <w:t xml:space="preserve">Six of the 36 delivered-to recipients clicked the link. Two — freya.lynn and ryan.boyd — submitted credentials on the harvesting page and are treated as compromised; their passwords must be assumed known to the attacker. The other four clicked but did not enter anything, so their passwords are not confirmed lost, though reaching the harvesting page still places them at elevated risk pending a precautionary reset.</w:t>
      </w:r>
    </w:p>
    <w:p>
      <w:pPr>
        <w:pStyle w:val="Heading2"/>
        <w:spacing w:after="140" w:before="320"/>
      </w:pPr>
      <w:r>
        <w:rPr>
          <w:rFonts w:ascii="Times New Roman" w:cs="Times New Roman" w:eastAsia="Times New Roman" w:hAnsi="Times New Roman"/>
          <w:b/>
          <w:bCs/>
          <w:color w:val="1F3864"/>
          <w:sz w:val="25"/>
          <w:szCs w:val="25"/>
        </w:rPr>
        <w:t xml:space="preserve">5.6 Confirmed compromise — freya.lynn@cloudora.io</w:t>
      </w:r>
    </w:p>
    <w:p>
      <w:pPr>
        <w:spacing w:after="160" w:line="276"/>
        <w:jc w:val="both"/>
      </w:pPr>
      <w:r>
        <w:rPr>
          <w:rFonts w:ascii="Times New Roman" w:cs="Times New Roman" w:eastAsia="Times New Roman" w:hAnsi="Times New Roman"/>
          <w:color w:val="404040"/>
          <w:sz w:val="22"/>
          <w:szCs w:val="22"/>
        </w:rPr>
        <w:t xml:space="preserve">Query: sign-ins for the credential submitters on the incident day.</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344"/>
        <w:gridCol w:w="2112"/>
        <w:gridCol w:w="1920"/>
        <w:gridCol w:w="2496"/>
        <w:gridCol w:w="1728"/>
      </w:tblGrid>
      <w:tr>
        <w:trPr>
          <w:tblHeader/>
        </w:trPr>
        <w:tc>
          <w:tcPr>
            <w:tcW w:type="pct" w:w="14%"/>
            <w:tcBorders>
              <w:top w:val="single" w:color="1F3864" w:sz="4"/>
              <w:left w:val="single" w:color="1F3864" w:sz="4"/>
              <w:bottom w:val="single" w:color="1F3864" w:sz="4"/>
              <w:right w:val="single" w:color="1F3864" w:sz="4"/>
            </w:tcBorders>
            <w:shd w:fill="1F3864" w:val="clear"/>
            <w:tcMar>
              <w:top w:type="dxa" w:w="90"/>
              <w:left w:type="dxa" w:w="110"/>
              <w:bottom w:type="dxa" w:w="90"/>
              <w:right w:type="dxa" w:w="110"/>
            </w:tcMar>
            <w:vAlign w:val="center"/>
          </w:tcPr>
          <w:p>
            <w:r>
              <w:rPr>
                <w:rFonts w:ascii="Times New Roman" w:cs="Times New Roman" w:eastAsia="Times New Roman" w:hAnsi="Times New Roman"/>
                <w:b/>
                <w:bCs/>
                <w:color w:val="FFFFFF"/>
                <w:sz w:val="19"/>
                <w:szCs w:val="19"/>
              </w:rPr>
              <w:t xml:space="preserve">Time (UTC)</w:t>
            </w:r>
          </w:p>
        </w:tc>
        <w:tc>
          <w:tcPr>
            <w:tcW w:type="pct" w:w="22%"/>
            <w:tcBorders>
              <w:top w:val="single" w:color="1F3864" w:sz="4"/>
              <w:left w:val="single" w:color="1F3864" w:sz="4"/>
              <w:bottom w:val="single" w:color="1F3864" w:sz="4"/>
              <w:right w:val="single" w:color="1F3864" w:sz="4"/>
            </w:tcBorders>
            <w:shd w:fill="1F3864" w:val="clear"/>
            <w:tcMar>
              <w:top w:type="dxa" w:w="90"/>
              <w:left w:type="dxa" w:w="110"/>
              <w:bottom w:type="dxa" w:w="90"/>
              <w:right w:type="dxa" w:w="110"/>
            </w:tcMar>
            <w:vAlign w:val="center"/>
          </w:tcPr>
          <w:p>
            <w:r>
              <w:rPr>
                <w:rFonts w:ascii="Times New Roman" w:cs="Times New Roman" w:eastAsia="Times New Roman" w:hAnsi="Times New Roman"/>
                <w:b/>
                <w:bCs/>
                <w:color w:val="FFFFFF"/>
                <w:sz w:val="19"/>
                <w:szCs w:val="19"/>
              </w:rPr>
              <w:t xml:space="preserve">App</w:t>
            </w:r>
          </w:p>
        </w:tc>
        <w:tc>
          <w:tcPr>
            <w:tcW w:type="pct" w:w="20%"/>
            <w:tcBorders>
              <w:top w:val="single" w:color="1F3864" w:sz="4"/>
              <w:left w:val="single" w:color="1F3864" w:sz="4"/>
              <w:bottom w:val="single" w:color="1F3864" w:sz="4"/>
              <w:right w:val="single" w:color="1F3864" w:sz="4"/>
            </w:tcBorders>
            <w:shd w:fill="1F3864" w:val="clear"/>
            <w:tcMar>
              <w:top w:type="dxa" w:w="90"/>
              <w:left w:type="dxa" w:w="110"/>
              <w:bottom w:type="dxa" w:w="90"/>
              <w:right w:type="dxa" w:w="110"/>
            </w:tcMar>
            <w:vAlign w:val="center"/>
          </w:tcPr>
          <w:p>
            <w:r>
              <w:rPr>
                <w:rFonts w:ascii="Times New Roman" w:cs="Times New Roman" w:eastAsia="Times New Roman" w:hAnsi="Times New Roman"/>
                <w:b/>
                <w:bCs/>
                <w:color w:val="FFFFFF"/>
                <w:sz w:val="19"/>
                <w:szCs w:val="19"/>
              </w:rPr>
              <w:t xml:space="preserve">IP</w:t>
            </w:r>
          </w:p>
        </w:tc>
        <w:tc>
          <w:tcPr>
            <w:tcW w:type="pct" w:w="26%"/>
            <w:tcBorders>
              <w:top w:val="single" w:color="1F3864" w:sz="4"/>
              <w:left w:val="single" w:color="1F3864" w:sz="4"/>
              <w:bottom w:val="single" w:color="1F3864" w:sz="4"/>
              <w:right w:val="single" w:color="1F3864" w:sz="4"/>
            </w:tcBorders>
            <w:shd w:fill="1F3864" w:val="clear"/>
            <w:tcMar>
              <w:top w:type="dxa" w:w="90"/>
              <w:left w:type="dxa" w:w="110"/>
              <w:bottom w:type="dxa" w:w="90"/>
              <w:right w:type="dxa" w:w="110"/>
            </w:tcMar>
            <w:vAlign w:val="center"/>
          </w:tcPr>
          <w:p>
            <w:r>
              <w:rPr>
                <w:rFonts w:ascii="Times New Roman" w:cs="Times New Roman" w:eastAsia="Times New Roman" w:hAnsi="Times New Roman"/>
                <w:b/>
                <w:bCs/>
                <w:color w:val="FFFFFF"/>
                <w:sz w:val="19"/>
                <w:szCs w:val="19"/>
              </w:rPr>
              <w:t xml:space="preserve">City / Country</w:t>
            </w:r>
          </w:p>
        </w:tc>
        <w:tc>
          <w:tcPr>
            <w:tcW w:type="pct" w:w="18%"/>
            <w:tcBorders>
              <w:top w:val="single" w:color="1F3864" w:sz="4"/>
              <w:left w:val="single" w:color="1F3864" w:sz="4"/>
              <w:bottom w:val="single" w:color="1F3864" w:sz="4"/>
              <w:right w:val="single" w:color="1F3864" w:sz="4"/>
            </w:tcBorders>
            <w:shd w:fill="1F3864" w:val="clear"/>
            <w:tcMar>
              <w:top w:type="dxa" w:w="90"/>
              <w:left w:type="dxa" w:w="110"/>
              <w:bottom w:type="dxa" w:w="90"/>
              <w:right w:type="dxa" w:w="110"/>
            </w:tcMar>
            <w:vAlign w:val="center"/>
          </w:tcPr>
          <w:p>
            <w:r>
              <w:rPr>
                <w:rFonts w:ascii="Times New Roman" w:cs="Times New Roman" w:eastAsia="Times New Roman" w:hAnsi="Times New Roman"/>
                <w:b/>
                <w:bCs/>
                <w:color w:val="FFFFFF"/>
                <w:sz w:val="19"/>
                <w:szCs w:val="19"/>
              </w:rPr>
              <w:t xml:space="preserve">Device</w:t>
            </w:r>
          </w:p>
        </w:tc>
      </w:tr>
      <w:tr>
        <w:tc>
          <w:tcPr>
            <w:tcW w:type="pct" w:w="14%"/>
            <w:tcBorders>
              <w:top w:val="single" w:color="BFBFBF" w:sz="4"/>
              <w:left w:val="single" w:color="BFBFBF" w:sz="4"/>
              <w:bottom w:val="single" w:color="BFBFBF" w:sz="4"/>
              <w:right w:val="single" w:color="BFBFBF" w:sz="4"/>
            </w:tcBorders>
            <w:shd w:fill="FFFFFF" w:val="clear"/>
            <w:tcMar>
              <w:top w:type="dxa" w:w="80"/>
              <w:left w:type="dxa" w:w="110"/>
              <w:bottom w:type="dxa" w:w="80"/>
              <w:right w:type="dxa" w:w="110"/>
            </w:tcMar>
            <w:vAlign w:val="center"/>
          </w:tcPr>
          <w:p>
            <w:r>
              <w:rPr>
                <w:rFonts w:ascii="Times New Roman" w:cs="Times New Roman" w:eastAsia="Times New Roman" w:hAnsi="Times New Roman"/>
                <w:b w:val="false"/>
                <w:bCs w:val="false"/>
                <w:color w:val="404040"/>
                <w:sz w:val="19"/>
                <w:szCs w:val="19"/>
              </w:rPr>
              <w:t xml:space="preserve">08:29</w:t>
            </w:r>
          </w:p>
        </w:tc>
        <w:tc>
          <w:tcPr>
            <w:tcW w:type="pct" w:w="22%"/>
            <w:tcBorders>
              <w:top w:val="single" w:color="BFBFBF" w:sz="4"/>
              <w:left w:val="single" w:color="BFBFBF" w:sz="4"/>
              <w:bottom w:val="single" w:color="BFBFBF" w:sz="4"/>
              <w:right w:val="single" w:color="BFBFBF" w:sz="4"/>
            </w:tcBorders>
            <w:shd w:fill="FFFFFF" w:val="clear"/>
            <w:tcMar>
              <w:top w:type="dxa" w:w="80"/>
              <w:left w:type="dxa" w:w="110"/>
              <w:bottom w:type="dxa" w:w="80"/>
              <w:right w:type="dxa" w:w="110"/>
            </w:tcMar>
            <w:vAlign w:val="center"/>
          </w:tcPr>
          <w:p>
            <w:r>
              <w:rPr>
                <w:rFonts w:ascii="Times New Roman" w:cs="Times New Roman" w:eastAsia="Times New Roman" w:hAnsi="Times New Roman"/>
                <w:b w:val="false"/>
                <w:bCs w:val="false"/>
                <w:color w:val="404040"/>
                <w:sz w:val="19"/>
                <w:szCs w:val="19"/>
              </w:rPr>
              <w:t xml:space="preserve">Outlook Web App</w:t>
            </w:r>
          </w:p>
        </w:tc>
        <w:tc>
          <w:tcPr>
            <w:tcW w:type="pct" w:w="20%"/>
            <w:tcBorders>
              <w:top w:val="single" w:color="BFBFBF" w:sz="4"/>
              <w:left w:val="single" w:color="BFBFBF" w:sz="4"/>
              <w:bottom w:val="single" w:color="BFBFBF" w:sz="4"/>
              <w:right w:val="single" w:color="BFBFBF" w:sz="4"/>
            </w:tcBorders>
            <w:shd w:fill="FFFFFF" w:val="clear"/>
            <w:tcMar>
              <w:top w:type="dxa" w:w="80"/>
              <w:left w:type="dxa" w:w="110"/>
              <w:bottom w:type="dxa" w:w="80"/>
              <w:right w:type="dxa" w:w="110"/>
            </w:tcMar>
            <w:vAlign w:val="center"/>
          </w:tcPr>
          <w:p>
            <w:r>
              <w:rPr>
                <w:rFonts w:ascii="Times New Roman" w:cs="Times New Roman" w:eastAsia="Times New Roman" w:hAnsi="Times New Roman"/>
                <w:b w:val="false"/>
                <w:bCs w:val="false"/>
                <w:color w:val="404040"/>
                <w:sz w:val="19"/>
                <w:szCs w:val="19"/>
              </w:rPr>
              <w:t xml:space="preserve">198.51.100.20</w:t>
            </w:r>
          </w:p>
        </w:tc>
        <w:tc>
          <w:tcPr>
            <w:tcW w:type="pct" w:w="26%"/>
            <w:tcBorders>
              <w:top w:val="single" w:color="BFBFBF" w:sz="4"/>
              <w:left w:val="single" w:color="BFBFBF" w:sz="4"/>
              <w:bottom w:val="single" w:color="BFBFBF" w:sz="4"/>
              <w:right w:val="single" w:color="BFBFBF" w:sz="4"/>
            </w:tcBorders>
            <w:shd w:fill="FFFFFF" w:val="clear"/>
            <w:tcMar>
              <w:top w:type="dxa" w:w="80"/>
              <w:left w:type="dxa" w:w="110"/>
              <w:bottom w:type="dxa" w:w="80"/>
              <w:right w:type="dxa" w:w="110"/>
            </w:tcMar>
            <w:vAlign w:val="center"/>
          </w:tcPr>
          <w:p>
            <w:r>
              <w:rPr>
                <w:rFonts w:ascii="Times New Roman" w:cs="Times New Roman" w:eastAsia="Times New Roman" w:hAnsi="Times New Roman"/>
                <w:b w:val="false"/>
                <w:bCs w:val="false"/>
                <w:color w:val="404040"/>
                <w:sz w:val="19"/>
                <w:szCs w:val="19"/>
              </w:rPr>
              <w:t xml:space="preserve">Manchester, United Kingdom</w:t>
            </w:r>
          </w:p>
        </w:tc>
        <w:tc>
          <w:tcPr>
            <w:tcW w:type="pct" w:w="18%"/>
            <w:tcBorders>
              <w:top w:val="single" w:color="BFBFBF" w:sz="4"/>
              <w:left w:val="single" w:color="BFBFBF" w:sz="4"/>
              <w:bottom w:val="single" w:color="BFBFBF" w:sz="4"/>
              <w:right w:val="single" w:color="BFBFBF" w:sz="4"/>
            </w:tcBorders>
            <w:shd w:fill="FFFFFF" w:val="clear"/>
            <w:tcMar>
              <w:top w:type="dxa" w:w="80"/>
              <w:left w:type="dxa" w:w="110"/>
              <w:bottom w:type="dxa" w:w="80"/>
              <w:right w:type="dxa" w:w="110"/>
            </w:tcMar>
            <w:vAlign w:val="center"/>
          </w:tcPr>
          <w:p>
            <w:r>
              <w:rPr>
                <w:rFonts w:ascii="Times New Roman" w:cs="Times New Roman" w:eastAsia="Times New Roman" w:hAnsi="Times New Roman"/>
                <w:b w:val="false"/>
                <w:bCs w:val="false"/>
                <w:color w:val="404040"/>
                <w:sz w:val="19"/>
                <w:szCs w:val="19"/>
              </w:rPr>
              <w:t xml:space="preserve">iOS 17</w:t>
            </w:r>
          </w:p>
        </w:tc>
      </w:tr>
      <w:tr>
        <w:tc>
          <w:tcPr>
            <w:tcW w:type="pct" w:w="14%"/>
            <w:tcBorders>
              <w:top w:val="single" w:color="BFBFBF" w:sz="4"/>
              <w:left w:val="single" w:color="BFBFBF" w:sz="4"/>
              <w:bottom w:val="single" w:color="BFBFBF" w:sz="4"/>
              <w:right w:val="single" w:color="BFBFBF" w:sz="4"/>
            </w:tcBorders>
            <w:shd w:fill="F7F9FC" w:val="clear"/>
            <w:tcMar>
              <w:top w:type="dxa" w:w="80"/>
              <w:left w:type="dxa" w:w="110"/>
              <w:bottom w:type="dxa" w:w="80"/>
              <w:right w:type="dxa" w:w="110"/>
            </w:tcMar>
            <w:vAlign w:val="center"/>
          </w:tcPr>
          <w:p>
            <w:r>
              <w:rPr>
                <w:rFonts w:ascii="Times New Roman" w:cs="Times New Roman" w:eastAsia="Times New Roman" w:hAnsi="Times New Roman"/>
                <w:b w:val="false"/>
                <w:bCs w:val="false"/>
                <w:color w:val="404040"/>
                <w:sz w:val="19"/>
                <w:szCs w:val="19"/>
              </w:rPr>
              <w:t xml:space="preserve">10:34</w:t>
            </w:r>
          </w:p>
        </w:tc>
        <w:tc>
          <w:tcPr>
            <w:tcW w:type="pct" w:w="22%"/>
            <w:tcBorders>
              <w:top w:val="single" w:color="BFBFBF" w:sz="4"/>
              <w:left w:val="single" w:color="BFBFBF" w:sz="4"/>
              <w:bottom w:val="single" w:color="BFBFBF" w:sz="4"/>
              <w:right w:val="single" w:color="BFBFBF" w:sz="4"/>
            </w:tcBorders>
            <w:shd w:fill="F7F9FC" w:val="clear"/>
            <w:tcMar>
              <w:top w:type="dxa" w:w="80"/>
              <w:left w:type="dxa" w:w="110"/>
              <w:bottom w:type="dxa" w:w="80"/>
              <w:right w:type="dxa" w:w="110"/>
            </w:tcMar>
            <w:vAlign w:val="center"/>
          </w:tcPr>
          <w:p>
            <w:r>
              <w:rPr>
                <w:rFonts w:ascii="Times New Roman" w:cs="Times New Roman" w:eastAsia="Times New Roman" w:hAnsi="Times New Roman"/>
                <w:b w:val="false"/>
                <w:bCs w:val="false"/>
                <w:color w:val="404040"/>
                <w:sz w:val="19"/>
                <w:szCs w:val="19"/>
              </w:rPr>
              <w:t xml:space="preserve">Microsoft 365</w:t>
            </w:r>
          </w:p>
        </w:tc>
        <w:tc>
          <w:tcPr>
            <w:tcW w:type="pct" w:w="20%"/>
            <w:tcBorders>
              <w:top w:val="single" w:color="BFBFBF" w:sz="4"/>
              <w:left w:val="single" w:color="BFBFBF" w:sz="4"/>
              <w:bottom w:val="single" w:color="BFBFBF" w:sz="4"/>
              <w:right w:val="single" w:color="BFBFBF" w:sz="4"/>
            </w:tcBorders>
            <w:shd w:fill="F7F9FC" w:val="clear"/>
            <w:tcMar>
              <w:top w:type="dxa" w:w="80"/>
              <w:left w:type="dxa" w:w="110"/>
              <w:bottom w:type="dxa" w:w="80"/>
              <w:right w:type="dxa" w:w="110"/>
            </w:tcMar>
            <w:vAlign w:val="center"/>
          </w:tcPr>
          <w:p>
            <w:r>
              <w:rPr>
                <w:rFonts w:ascii="Times New Roman" w:cs="Times New Roman" w:eastAsia="Times New Roman" w:hAnsi="Times New Roman"/>
                <w:b w:val="false"/>
                <w:bCs w:val="false"/>
                <w:color w:val="404040"/>
                <w:sz w:val="19"/>
                <w:szCs w:val="19"/>
              </w:rPr>
              <w:t xml:space="preserve">198.18.7.200</w:t>
            </w:r>
          </w:p>
        </w:tc>
        <w:tc>
          <w:tcPr>
            <w:tcW w:type="pct" w:w="26%"/>
            <w:tcBorders>
              <w:top w:val="single" w:color="BFBFBF" w:sz="4"/>
              <w:left w:val="single" w:color="BFBFBF" w:sz="4"/>
              <w:bottom w:val="single" w:color="BFBFBF" w:sz="4"/>
              <w:right w:val="single" w:color="BFBFBF" w:sz="4"/>
            </w:tcBorders>
            <w:shd w:fill="F7F9FC" w:val="clear"/>
            <w:tcMar>
              <w:top w:type="dxa" w:w="80"/>
              <w:left w:type="dxa" w:w="110"/>
              <w:bottom w:type="dxa" w:w="80"/>
              <w:right w:type="dxa" w:w="110"/>
            </w:tcMar>
            <w:vAlign w:val="center"/>
          </w:tcPr>
          <w:p>
            <w:r>
              <w:rPr>
                <w:rFonts w:ascii="Times New Roman" w:cs="Times New Roman" w:eastAsia="Times New Roman" w:hAnsi="Times New Roman"/>
                <w:b w:val="false"/>
                <w:bCs w:val="false"/>
                <w:color w:val="404040"/>
                <w:sz w:val="19"/>
                <w:szCs w:val="19"/>
              </w:rPr>
              <w:t xml:space="preserve">Amsterdam, Netherlands</w:t>
            </w:r>
          </w:p>
        </w:tc>
        <w:tc>
          <w:tcPr>
            <w:tcW w:type="pct" w:w="18%"/>
            <w:tcBorders>
              <w:top w:val="single" w:color="BFBFBF" w:sz="4"/>
              <w:left w:val="single" w:color="BFBFBF" w:sz="4"/>
              <w:bottom w:val="single" w:color="BFBFBF" w:sz="4"/>
              <w:right w:val="single" w:color="BFBFBF" w:sz="4"/>
            </w:tcBorders>
            <w:shd w:fill="F7F9FC" w:val="clear"/>
            <w:tcMar>
              <w:top w:type="dxa" w:w="80"/>
              <w:left w:type="dxa" w:w="110"/>
              <w:bottom w:type="dxa" w:w="80"/>
              <w:right w:type="dxa" w:w="110"/>
            </w:tcMar>
            <w:vAlign w:val="center"/>
          </w:tcPr>
          <w:p>
            <w:r>
              <w:rPr>
                <w:rFonts w:ascii="Times New Roman" w:cs="Times New Roman" w:eastAsia="Times New Roman" w:hAnsi="Times New Roman"/>
                <w:b w:val="false"/>
                <w:bCs w:val="false"/>
                <w:color w:val="404040"/>
                <w:sz w:val="19"/>
                <w:szCs w:val="19"/>
              </w:rPr>
              <w:t xml:space="preserve">Windows 11 / Chrome</w:t>
            </w:r>
          </w:p>
        </w:tc>
      </w:tr>
      <w:tr>
        <w:tc>
          <w:tcPr>
            <w:tcW w:type="pct" w:w="14%"/>
            <w:tcBorders>
              <w:top w:val="single" w:color="BFBFBF" w:sz="4"/>
              <w:left w:val="single" w:color="BFBFBF" w:sz="4"/>
              <w:bottom w:val="single" w:color="BFBFBF" w:sz="4"/>
              <w:right w:val="single" w:color="BFBFBF" w:sz="4"/>
            </w:tcBorders>
            <w:shd w:fill="FFFFFF" w:val="clear"/>
            <w:tcMar>
              <w:top w:type="dxa" w:w="80"/>
              <w:left w:type="dxa" w:w="110"/>
              <w:bottom w:type="dxa" w:w="80"/>
              <w:right w:type="dxa" w:w="110"/>
            </w:tcMar>
            <w:vAlign w:val="center"/>
          </w:tcPr>
          <w:p>
            <w:r>
              <w:rPr>
                <w:rFonts w:ascii="Times New Roman" w:cs="Times New Roman" w:eastAsia="Times New Roman" w:hAnsi="Times New Roman"/>
                <w:b w:val="false"/>
                <w:bCs w:val="false"/>
                <w:color w:val="404040"/>
                <w:sz w:val="19"/>
                <w:szCs w:val="19"/>
              </w:rPr>
              <w:t xml:space="preserve">10:36</w:t>
            </w:r>
          </w:p>
        </w:tc>
        <w:tc>
          <w:tcPr>
            <w:tcW w:type="pct" w:w="22%"/>
            <w:tcBorders>
              <w:top w:val="single" w:color="BFBFBF" w:sz="4"/>
              <w:left w:val="single" w:color="BFBFBF" w:sz="4"/>
              <w:bottom w:val="single" w:color="BFBFBF" w:sz="4"/>
              <w:right w:val="single" w:color="BFBFBF" w:sz="4"/>
            </w:tcBorders>
            <w:shd w:fill="FFFFFF" w:val="clear"/>
            <w:tcMar>
              <w:top w:type="dxa" w:w="80"/>
              <w:left w:type="dxa" w:w="110"/>
              <w:bottom w:type="dxa" w:w="80"/>
              <w:right w:type="dxa" w:w="110"/>
            </w:tcMar>
            <w:vAlign w:val="center"/>
          </w:tcPr>
          <w:p>
            <w:r>
              <w:rPr>
                <w:rFonts w:ascii="Times New Roman" w:cs="Times New Roman" w:eastAsia="Times New Roman" w:hAnsi="Times New Roman"/>
                <w:b w:val="false"/>
                <w:bCs w:val="false"/>
                <w:color w:val="404040"/>
                <w:sz w:val="19"/>
                <w:szCs w:val="19"/>
              </w:rPr>
              <w:t xml:space="preserve">Outlook Web App</w:t>
            </w:r>
          </w:p>
        </w:tc>
        <w:tc>
          <w:tcPr>
            <w:tcW w:type="pct" w:w="20%"/>
            <w:tcBorders>
              <w:top w:val="single" w:color="BFBFBF" w:sz="4"/>
              <w:left w:val="single" w:color="BFBFBF" w:sz="4"/>
              <w:bottom w:val="single" w:color="BFBFBF" w:sz="4"/>
              <w:right w:val="single" w:color="BFBFBF" w:sz="4"/>
            </w:tcBorders>
            <w:shd w:fill="FFFFFF" w:val="clear"/>
            <w:tcMar>
              <w:top w:type="dxa" w:w="80"/>
              <w:left w:type="dxa" w:w="110"/>
              <w:bottom w:type="dxa" w:w="80"/>
              <w:right w:type="dxa" w:w="110"/>
            </w:tcMar>
            <w:vAlign w:val="center"/>
          </w:tcPr>
          <w:p>
            <w:r>
              <w:rPr>
                <w:rFonts w:ascii="Times New Roman" w:cs="Times New Roman" w:eastAsia="Times New Roman" w:hAnsi="Times New Roman"/>
                <w:b w:val="false"/>
                <w:bCs w:val="false"/>
                <w:color w:val="404040"/>
                <w:sz w:val="19"/>
                <w:szCs w:val="19"/>
              </w:rPr>
              <w:t xml:space="preserve">198.18.7.200</w:t>
            </w:r>
          </w:p>
        </w:tc>
        <w:tc>
          <w:tcPr>
            <w:tcW w:type="pct" w:w="26%"/>
            <w:tcBorders>
              <w:top w:val="single" w:color="BFBFBF" w:sz="4"/>
              <w:left w:val="single" w:color="BFBFBF" w:sz="4"/>
              <w:bottom w:val="single" w:color="BFBFBF" w:sz="4"/>
              <w:right w:val="single" w:color="BFBFBF" w:sz="4"/>
            </w:tcBorders>
            <w:shd w:fill="FFFFFF" w:val="clear"/>
            <w:tcMar>
              <w:top w:type="dxa" w:w="80"/>
              <w:left w:type="dxa" w:w="110"/>
              <w:bottom w:type="dxa" w:w="80"/>
              <w:right w:type="dxa" w:w="110"/>
            </w:tcMar>
            <w:vAlign w:val="center"/>
          </w:tcPr>
          <w:p>
            <w:r>
              <w:rPr>
                <w:rFonts w:ascii="Times New Roman" w:cs="Times New Roman" w:eastAsia="Times New Roman" w:hAnsi="Times New Roman"/>
                <w:b w:val="false"/>
                <w:bCs w:val="false"/>
                <w:color w:val="404040"/>
                <w:sz w:val="19"/>
                <w:szCs w:val="19"/>
              </w:rPr>
              <w:t xml:space="preserve">Amsterdam, Netherlands</w:t>
            </w:r>
          </w:p>
        </w:tc>
        <w:tc>
          <w:tcPr>
            <w:tcW w:type="pct" w:w="18%"/>
            <w:tcBorders>
              <w:top w:val="single" w:color="BFBFBF" w:sz="4"/>
              <w:left w:val="single" w:color="BFBFBF" w:sz="4"/>
              <w:bottom w:val="single" w:color="BFBFBF" w:sz="4"/>
              <w:right w:val="single" w:color="BFBFBF" w:sz="4"/>
            </w:tcBorders>
            <w:shd w:fill="FFFFFF" w:val="clear"/>
            <w:tcMar>
              <w:top w:type="dxa" w:w="80"/>
              <w:left w:type="dxa" w:w="110"/>
              <w:bottom w:type="dxa" w:w="80"/>
              <w:right w:type="dxa" w:w="110"/>
            </w:tcMar>
            <w:vAlign w:val="center"/>
          </w:tcPr>
          <w:p>
            <w:r>
              <w:rPr>
                <w:rFonts w:ascii="Times New Roman" w:cs="Times New Roman" w:eastAsia="Times New Roman" w:hAnsi="Times New Roman"/>
                <w:b w:val="false"/>
                <w:bCs w:val="false"/>
                <w:color w:val="404040"/>
                <w:sz w:val="19"/>
                <w:szCs w:val="19"/>
              </w:rPr>
              <w:t xml:space="preserve">Windows 11 / Chrome</w:t>
            </w:r>
          </w:p>
        </w:tc>
      </w:tr>
      <w:tr>
        <w:tc>
          <w:tcPr>
            <w:tcW w:type="pct" w:w="14%"/>
            <w:tcBorders>
              <w:top w:val="single" w:color="BFBFBF" w:sz="4"/>
              <w:left w:val="single" w:color="BFBFBF" w:sz="4"/>
              <w:bottom w:val="single" w:color="BFBFBF" w:sz="4"/>
              <w:right w:val="single" w:color="BFBFBF" w:sz="4"/>
            </w:tcBorders>
            <w:shd w:fill="F7F9FC" w:val="clear"/>
            <w:tcMar>
              <w:top w:type="dxa" w:w="80"/>
              <w:left w:type="dxa" w:w="110"/>
              <w:bottom w:type="dxa" w:w="80"/>
              <w:right w:type="dxa" w:w="110"/>
            </w:tcMar>
            <w:vAlign w:val="center"/>
          </w:tcPr>
          <w:p>
            <w:r>
              <w:rPr>
                <w:rFonts w:ascii="Times New Roman" w:cs="Times New Roman" w:eastAsia="Times New Roman" w:hAnsi="Times New Roman"/>
                <w:b w:val="false"/>
                <w:bCs w:val="false"/>
                <w:color w:val="404040"/>
                <w:sz w:val="19"/>
                <w:szCs w:val="19"/>
              </w:rPr>
              <w:t xml:space="preserve">10:41</w:t>
            </w:r>
          </w:p>
        </w:tc>
        <w:tc>
          <w:tcPr>
            <w:tcW w:type="pct" w:w="22%"/>
            <w:tcBorders>
              <w:top w:val="single" w:color="BFBFBF" w:sz="4"/>
              <w:left w:val="single" w:color="BFBFBF" w:sz="4"/>
              <w:bottom w:val="single" w:color="BFBFBF" w:sz="4"/>
              <w:right w:val="single" w:color="BFBFBF" w:sz="4"/>
            </w:tcBorders>
            <w:shd w:fill="F7F9FC" w:val="clear"/>
            <w:tcMar>
              <w:top w:type="dxa" w:w="80"/>
              <w:left w:type="dxa" w:w="110"/>
              <w:bottom w:type="dxa" w:w="80"/>
              <w:right w:type="dxa" w:w="110"/>
            </w:tcMar>
            <w:vAlign w:val="center"/>
          </w:tcPr>
          <w:p>
            <w:r>
              <w:rPr>
                <w:rFonts w:ascii="Times New Roman" w:cs="Times New Roman" w:eastAsia="Times New Roman" w:hAnsi="Times New Roman"/>
                <w:b w:val="false"/>
                <w:bCs w:val="false"/>
                <w:color w:val="404040"/>
                <w:sz w:val="19"/>
                <w:szCs w:val="19"/>
              </w:rPr>
              <w:t xml:space="preserve">SharePoint Online</w:t>
            </w:r>
          </w:p>
        </w:tc>
        <w:tc>
          <w:tcPr>
            <w:tcW w:type="pct" w:w="20%"/>
            <w:tcBorders>
              <w:top w:val="single" w:color="BFBFBF" w:sz="4"/>
              <w:left w:val="single" w:color="BFBFBF" w:sz="4"/>
              <w:bottom w:val="single" w:color="BFBFBF" w:sz="4"/>
              <w:right w:val="single" w:color="BFBFBF" w:sz="4"/>
            </w:tcBorders>
            <w:shd w:fill="F7F9FC" w:val="clear"/>
            <w:tcMar>
              <w:top w:type="dxa" w:w="80"/>
              <w:left w:type="dxa" w:w="110"/>
              <w:bottom w:type="dxa" w:w="80"/>
              <w:right w:type="dxa" w:w="110"/>
            </w:tcMar>
            <w:vAlign w:val="center"/>
          </w:tcPr>
          <w:p>
            <w:r>
              <w:rPr>
                <w:rFonts w:ascii="Times New Roman" w:cs="Times New Roman" w:eastAsia="Times New Roman" w:hAnsi="Times New Roman"/>
                <w:b w:val="false"/>
                <w:bCs w:val="false"/>
                <w:color w:val="404040"/>
                <w:sz w:val="19"/>
                <w:szCs w:val="19"/>
              </w:rPr>
              <w:t xml:space="preserve">198.18.7.200</w:t>
            </w:r>
          </w:p>
        </w:tc>
        <w:tc>
          <w:tcPr>
            <w:tcW w:type="pct" w:w="26%"/>
            <w:tcBorders>
              <w:top w:val="single" w:color="BFBFBF" w:sz="4"/>
              <w:left w:val="single" w:color="BFBFBF" w:sz="4"/>
              <w:bottom w:val="single" w:color="BFBFBF" w:sz="4"/>
              <w:right w:val="single" w:color="BFBFBF" w:sz="4"/>
            </w:tcBorders>
            <w:shd w:fill="F7F9FC" w:val="clear"/>
            <w:tcMar>
              <w:top w:type="dxa" w:w="80"/>
              <w:left w:type="dxa" w:w="110"/>
              <w:bottom w:type="dxa" w:w="80"/>
              <w:right w:type="dxa" w:w="110"/>
            </w:tcMar>
            <w:vAlign w:val="center"/>
          </w:tcPr>
          <w:p>
            <w:r>
              <w:rPr>
                <w:rFonts w:ascii="Times New Roman" w:cs="Times New Roman" w:eastAsia="Times New Roman" w:hAnsi="Times New Roman"/>
                <w:b w:val="false"/>
                <w:bCs w:val="false"/>
                <w:color w:val="404040"/>
                <w:sz w:val="19"/>
                <w:szCs w:val="19"/>
              </w:rPr>
              <w:t xml:space="preserve">Amsterdam, Netherlands</w:t>
            </w:r>
          </w:p>
        </w:tc>
        <w:tc>
          <w:tcPr>
            <w:tcW w:type="pct" w:w="18%"/>
            <w:tcBorders>
              <w:top w:val="single" w:color="BFBFBF" w:sz="4"/>
              <w:left w:val="single" w:color="BFBFBF" w:sz="4"/>
              <w:bottom w:val="single" w:color="BFBFBF" w:sz="4"/>
              <w:right w:val="single" w:color="BFBFBF" w:sz="4"/>
            </w:tcBorders>
            <w:shd w:fill="F7F9FC" w:val="clear"/>
            <w:tcMar>
              <w:top w:type="dxa" w:w="80"/>
              <w:left w:type="dxa" w:w="110"/>
              <w:bottom w:type="dxa" w:w="80"/>
              <w:right w:type="dxa" w:w="110"/>
            </w:tcMar>
            <w:vAlign w:val="center"/>
          </w:tcPr>
          <w:p>
            <w:r>
              <w:rPr>
                <w:rFonts w:ascii="Times New Roman" w:cs="Times New Roman" w:eastAsia="Times New Roman" w:hAnsi="Times New Roman"/>
                <w:b w:val="false"/>
                <w:bCs w:val="false"/>
                <w:color w:val="404040"/>
                <w:sz w:val="19"/>
                <w:szCs w:val="19"/>
              </w:rPr>
              <w:t xml:space="preserve">Windows 11 / Chrome</w:t>
            </w:r>
          </w:p>
        </w:tc>
      </w:tr>
      <w:tr>
        <w:tc>
          <w:tcPr>
            <w:tcW w:type="pct" w:w="14%"/>
            <w:tcBorders>
              <w:top w:val="single" w:color="BFBFBF" w:sz="4"/>
              <w:left w:val="single" w:color="BFBFBF" w:sz="4"/>
              <w:bottom w:val="single" w:color="BFBFBF" w:sz="4"/>
              <w:right w:val="single" w:color="BFBFBF" w:sz="4"/>
            </w:tcBorders>
            <w:shd w:fill="FFFFFF" w:val="clear"/>
            <w:tcMar>
              <w:top w:type="dxa" w:w="80"/>
              <w:left w:type="dxa" w:w="110"/>
              <w:bottom w:type="dxa" w:w="80"/>
              <w:right w:type="dxa" w:w="110"/>
            </w:tcMar>
            <w:vAlign w:val="center"/>
          </w:tcPr>
          <w:p>
            <w:r>
              <w:rPr>
                <w:rFonts w:ascii="Times New Roman" w:cs="Times New Roman" w:eastAsia="Times New Roman" w:hAnsi="Times New Roman"/>
                <w:b w:val="false"/>
                <w:bCs w:val="false"/>
                <w:color w:val="404040"/>
                <w:sz w:val="19"/>
                <w:szCs w:val="19"/>
              </w:rPr>
              <w:t xml:space="preserve">13:38</w:t>
            </w:r>
          </w:p>
        </w:tc>
        <w:tc>
          <w:tcPr>
            <w:tcW w:type="pct" w:w="22%"/>
            <w:tcBorders>
              <w:top w:val="single" w:color="BFBFBF" w:sz="4"/>
              <w:left w:val="single" w:color="BFBFBF" w:sz="4"/>
              <w:bottom w:val="single" w:color="BFBFBF" w:sz="4"/>
              <w:right w:val="single" w:color="BFBFBF" w:sz="4"/>
            </w:tcBorders>
            <w:shd w:fill="FFFFFF" w:val="clear"/>
            <w:tcMar>
              <w:top w:type="dxa" w:w="80"/>
              <w:left w:type="dxa" w:w="110"/>
              <w:bottom w:type="dxa" w:w="80"/>
              <w:right w:type="dxa" w:w="110"/>
            </w:tcMar>
            <w:vAlign w:val="center"/>
          </w:tcPr>
          <w:p>
            <w:r>
              <w:rPr>
                <w:rFonts w:ascii="Times New Roman" w:cs="Times New Roman" w:eastAsia="Times New Roman" w:hAnsi="Times New Roman"/>
                <w:b w:val="false"/>
                <w:bCs w:val="false"/>
                <w:color w:val="404040"/>
                <w:sz w:val="19"/>
                <w:szCs w:val="19"/>
              </w:rPr>
              <w:t xml:space="preserve">Microsoft 365</w:t>
            </w:r>
          </w:p>
        </w:tc>
        <w:tc>
          <w:tcPr>
            <w:tcW w:type="pct" w:w="20%"/>
            <w:tcBorders>
              <w:top w:val="single" w:color="BFBFBF" w:sz="4"/>
              <w:left w:val="single" w:color="BFBFBF" w:sz="4"/>
              <w:bottom w:val="single" w:color="BFBFBF" w:sz="4"/>
              <w:right w:val="single" w:color="BFBFBF" w:sz="4"/>
            </w:tcBorders>
            <w:shd w:fill="FFFFFF" w:val="clear"/>
            <w:tcMar>
              <w:top w:type="dxa" w:w="80"/>
              <w:left w:type="dxa" w:w="110"/>
              <w:bottom w:type="dxa" w:w="80"/>
              <w:right w:type="dxa" w:w="110"/>
            </w:tcMar>
            <w:vAlign w:val="center"/>
          </w:tcPr>
          <w:p>
            <w:r>
              <w:rPr>
                <w:rFonts w:ascii="Times New Roman" w:cs="Times New Roman" w:eastAsia="Times New Roman" w:hAnsi="Times New Roman"/>
                <w:b w:val="false"/>
                <w:bCs w:val="false"/>
                <w:color w:val="404040"/>
                <w:sz w:val="19"/>
                <w:szCs w:val="19"/>
              </w:rPr>
              <w:t xml:space="preserve">198.51.100.20</w:t>
            </w:r>
          </w:p>
        </w:tc>
        <w:tc>
          <w:tcPr>
            <w:tcW w:type="pct" w:w="26%"/>
            <w:tcBorders>
              <w:top w:val="single" w:color="BFBFBF" w:sz="4"/>
              <w:left w:val="single" w:color="BFBFBF" w:sz="4"/>
              <w:bottom w:val="single" w:color="BFBFBF" w:sz="4"/>
              <w:right w:val="single" w:color="BFBFBF" w:sz="4"/>
            </w:tcBorders>
            <w:shd w:fill="FFFFFF" w:val="clear"/>
            <w:tcMar>
              <w:top w:type="dxa" w:w="80"/>
              <w:left w:type="dxa" w:w="110"/>
              <w:bottom w:type="dxa" w:w="80"/>
              <w:right w:type="dxa" w:w="110"/>
            </w:tcMar>
            <w:vAlign w:val="center"/>
          </w:tcPr>
          <w:p>
            <w:r>
              <w:rPr>
                <w:rFonts w:ascii="Times New Roman" w:cs="Times New Roman" w:eastAsia="Times New Roman" w:hAnsi="Times New Roman"/>
                <w:b w:val="false"/>
                <w:bCs w:val="false"/>
                <w:color w:val="404040"/>
                <w:sz w:val="19"/>
                <w:szCs w:val="19"/>
              </w:rPr>
              <w:t xml:space="preserve">Manchester, United Kingdom</w:t>
            </w:r>
          </w:p>
        </w:tc>
        <w:tc>
          <w:tcPr>
            <w:tcW w:type="pct" w:w="18%"/>
            <w:tcBorders>
              <w:top w:val="single" w:color="BFBFBF" w:sz="4"/>
              <w:left w:val="single" w:color="BFBFBF" w:sz="4"/>
              <w:bottom w:val="single" w:color="BFBFBF" w:sz="4"/>
              <w:right w:val="single" w:color="BFBFBF" w:sz="4"/>
            </w:tcBorders>
            <w:shd w:fill="FFFFFF" w:val="clear"/>
            <w:tcMar>
              <w:top w:type="dxa" w:w="80"/>
              <w:left w:type="dxa" w:w="110"/>
              <w:bottom w:type="dxa" w:w="80"/>
              <w:right w:type="dxa" w:w="110"/>
            </w:tcMar>
            <w:vAlign w:val="center"/>
          </w:tcPr>
          <w:p>
            <w:r>
              <w:rPr>
                <w:rFonts w:ascii="Times New Roman" w:cs="Times New Roman" w:eastAsia="Times New Roman" w:hAnsi="Times New Roman"/>
                <w:b w:val="false"/>
                <w:bCs w:val="false"/>
                <w:color w:val="404040"/>
                <w:sz w:val="19"/>
                <w:szCs w:val="19"/>
              </w:rPr>
              <w:t xml:space="preserve">iOS 17</w:t>
            </w:r>
          </w:p>
        </w:tc>
      </w:tr>
    </w:tbl>
    <w:p>
      <w:pPr>
        <w:spacing w:after="160" w:line="276"/>
        <w:jc w:val="both"/>
      </w:pPr>
      <w:r>
        <w:rPr>
          <w:rFonts w:ascii="Times New Roman" w:cs="Times New Roman" w:eastAsia="Times New Roman" w:hAnsi="Times New Roman"/>
          <w:color w:val="404040"/>
          <w:sz w:val="22"/>
          <w:szCs w:val="22"/>
        </w:rPr>
        <w:t xml:space="preserve">Freya's genuine activity is from Manchester on her iPhone. At 10:34 — roughly two hours after she submitted her password — a successful sign-in appears from 198.18.7.200 in Amsterdam on a Windows 11 / Chrome device she has never used, followed by Outlook Web and SharePoint access. This is impossible travel with no supporting journey, and it is the harvested credential being used by the attacker (T1078). She returns to her genuine Manchester device at 13:38, confirming the account holder herself never travelled.</w:t>
      </w:r>
    </w:p>
    <w:p>
      <w:pPr>
        <w:pStyle w:val="Heading2"/>
        <w:spacing w:after="140" w:before="320"/>
      </w:pPr>
      <w:r>
        <w:rPr>
          <w:rFonts w:ascii="Times New Roman" w:cs="Times New Roman" w:eastAsia="Times New Roman" w:hAnsi="Times New Roman"/>
          <w:b/>
          <w:bCs/>
          <w:color w:val="1F3864"/>
          <w:sz w:val="25"/>
          <w:szCs w:val="25"/>
        </w:rPr>
        <w:t xml:space="preserve">5.7 Confirmed compromise — ryan.boyd@cloudora.io</w:t>
      </w:r>
    </w:p>
    <w:p>
      <w:pPr>
        <w:spacing w:after="160" w:line="276"/>
        <w:jc w:val="both"/>
      </w:pPr>
      <w:r>
        <w:rPr>
          <w:rFonts w:ascii="Times New Roman" w:cs="Times New Roman" w:eastAsia="Times New Roman" w:hAnsi="Times New Roman"/>
          <w:color w:val="404040"/>
          <w:sz w:val="22"/>
          <w:szCs w:val="22"/>
        </w:rPr>
        <w:t xml:space="preserve">Query: sign-in timeline for the second account, found by pivoting on the attacker's IP (see Section 5.8).</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344"/>
        <w:gridCol w:w="1920"/>
        <w:gridCol w:w="1728"/>
        <w:gridCol w:w="2304"/>
        <w:gridCol w:w="1536"/>
        <w:gridCol w:w="768"/>
      </w:tblGrid>
      <w:tr>
        <w:trPr>
          <w:tblHeader/>
        </w:trPr>
        <w:tc>
          <w:tcPr>
            <w:tcW w:type="pct" w:w="14%"/>
            <w:tcBorders>
              <w:top w:val="single" w:color="1F3864" w:sz="4"/>
              <w:left w:val="single" w:color="1F3864" w:sz="4"/>
              <w:bottom w:val="single" w:color="1F3864" w:sz="4"/>
              <w:right w:val="single" w:color="1F3864" w:sz="4"/>
            </w:tcBorders>
            <w:shd w:fill="1F3864" w:val="clear"/>
            <w:tcMar>
              <w:top w:type="dxa" w:w="90"/>
              <w:left w:type="dxa" w:w="110"/>
              <w:bottom w:type="dxa" w:w="90"/>
              <w:right w:type="dxa" w:w="110"/>
            </w:tcMar>
            <w:vAlign w:val="center"/>
          </w:tcPr>
          <w:p>
            <w:r>
              <w:rPr>
                <w:rFonts w:ascii="Times New Roman" w:cs="Times New Roman" w:eastAsia="Times New Roman" w:hAnsi="Times New Roman"/>
                <w:b/>
                <w:bCs/>
                <w:color w:val="FFFFFF"/>
                <w:sz w:val="19"/>
                <w:szCs w:val="19"/>
              </w:rPr>
              <w:t xml:space="preserve">Time (UTC)</w:t>
            </w:r>
          </w:p>
        </w:tc>
        <w:tc>
          <w:tcPr>
            <w:tcW w:type="pct" w:w="20%"/>
            <w:tcBorders>
              <w:top w:val="single" w:color="1F3864" w:sz="4"/>
              <w:left w:val="single" w:color="1F3864" w:sz="4"/>
              <w:bottom w:val="single" w:color="1F3864" w:sz="4"/>
              <w:right w:val="single" w:color="1F3864" w:sz="4"/>
            </w:tcBorders>
            <w:shd w:fill="1F3864" w:val="clear"/>
            <w:tcMar>
              <w:top w:type="dxa" w:w="90"/>
              <w:left w:type="dxa" w:w="110"/>
              <w:bottom w:type="dxa" w:w="90"/>
              <w:right w:type="dxa" w:w="110"/>
            </w:tcMar>
            <w:vAlign w:val="center"/>
          </w:tcPr>
          <w:p>
            <w:r>
              <w:rPr>
                <w:rFonts w:ascii="Times New Roman" w:cs="Times New Roman" w:eastAsia="Times New Roman" w:hAnsi="Times New Roman"/>
                <w:b/>
                <w:bCs/>
                <w:color w:val="FFFFFF"/>
                <w:sz w:val="19"/>
                <w:szCs w:val="19"/>
              </w:rPr>
              <w:t xml:space="preserve">App</w:t>
            </w:r>
          </w:p>
        </w:tc>
        <w:tc>
          <w:tcPr>
            <w:tcW w:type="pct" w:w="18%"/>
            <w:tcBorders>
              <w:top w:val="single" w:color="1F3864" w:sz="4"/>
              <w:left w:val="single" w:color="1F3864" w:sz="4"/>
              <w:bottom w:val="single" w:color="1F3864" w:sz="4"/>
              <w:right w:val="single" w:color="1F3864" w:sz="4"/>
            </w:tcBorders>
            <w:shd w:fill="1F3864" w:val="clear"/>
            <w:tcMar>
              <w:top w:type="dxa" w:w="90"/>
              <w:left w:type="dxa" w:w="110"/>
              <w:bottom w:type="dxa" w:w="90"/>
              <w:right w:type="dxa" w:w="110"/>
            </w:tcMar>
            <w:vAlign w:val="center"/>
          </w:tcPr>
          <w:p>
            <w:r>
              <w:rPr>
                <w:rFonts w:ascii="Times New Roman" w:cs="Times New Roman" w:eastAsia="Times New Roman" w:hAnsi="Times New Roman"/>
                <w:b/>
                <w:bCs/>
                <w:color w:val="FFFFFF"/>
                <w:sz w:val="19"/>
                <w:szCs w:val="19"/>
              </w:rPr>
              <w:t xml:space="preserve">IP</w:t>
            </w:r>
          </w:p>
        </w:tc>
        <w:tc>
          <w:tcPr>
            <w:tcW w:type="pct" w:w="24%"/>
            <w:tcBorders>
              <w:top w:val="single" w:color="1F3864" w:sz="4"/>
              <w:left w:val="single" w:color="1F3864" w:sz="4"/>
              <w:bottom w:val="single" w:color="1F3864" w:sz="4"/>
              <w:right w:val="single" w:color="1F3864" w:sz="4"/>
            </w:tcBorders>
            <w:shd w:fill="1F3864" w:val="clear"/>
            <w:tcMar>
              <w:top w:type="dxa" w:w="90"/>
              <w:left w:type="dxa" w:w="110"/>
              <w:bottom w:type="dxa" w:w="90"/>
              <w:right w:type="dxa" w:w="110"/>
            </w:tcMar>
            <w:vAlign w:val="center"/>
          </w:tcPr>
          <w:p>
            <w:r>
              <w:rPr>
                <w:rFonts w:ascii="Times New Roman" w:cs="Times New Roman" w:eastAsia="Times New Roman" w:hAnsi="Times New Roman"/>
                <w:b/>
                <w:bCs/>
                <w:color w:val="FFFFFF"/>
                <w:sz w:val="19"/>
                <w:szCs w:val="19"/>
              </w:rPr>
              <w:t xml:space="preserve">City / Country</w:t>
            </w:r>
          </w:p>
        </w:tc>
        <w:tc>
          <w:tcPr>
            <w:tcW w:type="pct" w:w="16%"/>
            <w:tcBorders>
              <w:top w:val="single" w:color="1F3864" w:sz="4"/>
              <w:left w:val="single" w:color="1F3864" w:sz="4"/>
              <w:bottom w:val="single" w:color="1F3864" w:sz="4"/>
              <w:right w:val="single" w:color="1F3864" w:sz="4"/>
            </w:tcBorders>
            <w:shd w:fill="1F3864" w:val="clear"/>
            <w:tcMar>
              <w:top w:type="dxa" w:w="90"/>
              <w:left w:type="dxa" w:w="110"/>
              <w:bottom w:type="dxa" w:w="90"/>
              <w:right w:type="dxa" w:w="110"/>
            </w:tcMar>
            <w:vAlign w:val="center"/>
          </w:tcPr>
          <w:p>
            <w:r>
              <w:rPr>
                <w:rFonts w:ascii="Times New Roman" w:cs="Times New Roman" w:eastAsia="Times New Roman" w:hAnsi="Times New Roman"/>
                <w:b/>
                <w:bCs/>
                <w:color w:val="FFFFFF"/>
                <w:sz w:val="19"/>
                <w:szCs w:val="19"/>
              </w:rPr>
              <w:t xml:space="preserve">Device</w:t>
            </w:r>
          </w:p>
        </w:tc>
        <w:tc>
          <w:tcPr>
            <w:tcW w:type="pct" w:w="8%"/>
            <w:tcBorders>
              <w:top w:val="single" w:color="1F3864" w:sz="4"/>
              <w:left w:val="single" w:color="1F3864" w:sz="4"/>
              <w:bottom w:val="single" w:color="1F3864" w:sz="4"/>
              <w:right w:val="single" w:color="1F3864" w:sz="4"/>
            </w:tcBorders>
            <w:shd w:fill="1F3864" w:val="clear"/>
            <w:tcMar>
              <w:top w:type="dxa" w:w="90"/>
              <w:left w:type="dxa" w:w="110"/>
              <w:bottom w:type="dxa" w:w="90"/>
              <w:right w:type="dxa" w:w="110"/>
            </w:tcMar>
            <w:vAlign w:val="center"/>
          </w:tcPr>
          <w:p>
            <w:r>
              <w:rPr>
                <w:rFonts w:ascii="Times New Roman" w:cs="Times New Roman" w:eastAsia="Times New Roman" w:hAnsi="Times New Roman"/>
                <w:b/>
                <w:bCs/>
                <w:color w:val="FFFFFF"/>
                <w:sz w:val="19"/>
                <w:szCs w:val="19"/>
              </w:rPr>
              <w:t xml:space="preserve">Result</w:t>
            </w:r>
          </w:p>
        </w:tc>
      </w:tr>
      <w:tr>
        <w:tc>
          <w:tcPr>
            <w:tcW w:type="pct" w:w="14%"/>
            <w:tcBorders>
              <w:top w:val="single" w:color="BFBFBF" w:sz="4"/>
              <w:left w:val="single" w:color="BFBFBF" w:sz="4"/>
              <w:bottom w:val="single" w:color="BFBFBF" w:sz="4"/>
              <w:right w:val="single" w:color="BFBFBF" w:sz="4"/>
            </w:tcBorders>
            <w:shd w:fill="FFFFFF" w:val="clear"/>
            <w:tcMar>
              <w:top w:type="dxa" w:w="80"/>
              <w:left w:type="dxa" w:w="110"/>
              <w:bottom w:type="dxa" w:w="80"/>
              <w:right w:type="dxa" w:w="110"/>
            </w:tcMar>
            <w:vAlign w:val="center"/>
          </w:tcPr>
          <w:p>
            <w:r>
              <w:rPr>
                <w:rFonts w:ascii="Times New Roman" w:cs="Times New Roman" w:eastAsia="Times New Roman" w:hAnsi="Times New Roman"/>
                <w:b w:val="false"/>
                <w:bCs w:val="false"/>
                <w:color w:val="404040"/>
                <w:sz w:val="19"/>
                <w:szCs w:val="19"/>
              </w:rPr>
              <w:t xml:space="preserve">08:12</w:t>
            </w:r>
          </w:p>
        </w:tc>
        <w:tc>
          <w:tcPr>
            <w:tcW w:type="pct" w:w="20%"/>
            <w:tcBorders>
              <w:top w:val="single" w:color="BFBFBF" w:sz="4"/>
              <w:left w:val="single" w:color="BFBFBF" w:sz="4"/>
              <w:bottom w:val="single" w:color="BFBFBF" w:sz="4"/>
              <w:right w:val="single" w:color="BFBFBF" w:sz="4"/>
            </w:tcBorders>
            <w:shd w:fill="FFFFFF" w:val="clear"/>
            <w:tcMar>
              <w:top w:type="dxa" w:w="80"/>
              <w:left w:type="dxa" w:w="110"/>
              <w:bottom w:type="dxa" w:w="80"/>
              <w:right w:type="dxa" w:w="110"/>
            </w:tcMar>
            <w:vAlign w:val="center"/>
          </w:tcPr>
          <w:p>
            <w:r>
              <w:rPr>
                <w:rFonts w:ascii="Times New Roman" w:cs="Times New Roman" w:eastAsia="Times New Roman" w:hAnsi="Times New Roman"/>
                <w:b w:val="false"/>
                <w:bCs w:val="false"/>
                <w:color w:val="404040"/>
                <w:sz w:val="19"/>
                <w:szCs w:val="19"/>
              </w:rPr>
              <w:t xml:space="preserve">Outlook Web App</w:t>
            </w:r>
          </w:p>
        </w:tc>
        <w:tc>
          <w:tcPr>
            <w:tcW w:type="pct" w:w="18%"/>
            <w:tcBorders>
              <w:top w:val="single" w:color="BFBFBF" w:sz="4"/>
              <w:left w:val="single" w:color="BFBFBF" w:sz="4"/>
              <w:bottom w:val="single" w:color="BFBFBF" w:sz="4"/>
              <w:right w:val="single" w:color="BFBFBF" w:sz="4"/>
            </w:tcBorders>
            <w:shd w:fill="FFFFFF" w:val="clear"/>
            <w:tcMar>
              <w:top w:type="dxa" w:w="80"/>
              <w:left w:type="dxa" w:w="110"/>
              <w:bottom w:type="dxa" w:w="80"/>
              <w:right w:type="dxa" w:w="110"/>
            </w:tcMar>
            <w:vAlign w:val="center"/>
          </w:tcPr>
          <w:p>
            <w:r>
              <w:rPr>
                <w:rFonts w:ascii="Times New Roman" w:cs="Times New Roman" w:eastAsia="Times New Roman" w:hAnsi="Times New Roman"/>
                <w:b w:val="false"/>
                <w:bCs w:val="false"/>
                <w:color w:val="404040"/>
                <w:sz w:val="19"/>
                <w:szCs w:val="19"/>
              </w:rPr>
              <w:t xml:space="preserve">203.0.113.10</w:t>
            </w:r>
          </w:p>
        </w:tc>
        <w:tc>
          <w:tcPr>
            <w:tcW w:type="pct" w:w="24%"/>
            <w:tcBorders>
              <w:top w:val="single" w:color="BFBFBF" w:sz="4"/>
              <w:left w:val="single" w:color="BFBFBF" w:sz="4"/>
              <w:bottom w:val="single" w:color="BFBFBF" w:sz="4"/>
              <w:right w:val="single" w:color="BFBFBF" w:sz="4"/>
            </w:tcBorders>
            <w:shd w:fill="FFFFFF" w:val="clear"/>
            <w:tcMar>
              <w:top w:type="dxa" w:w="80"/>
              <w:left w:type="dxa" w:w="110"/>
              <w:bottom w:type="dxa" w:w="80"/>
              <w:right w:type="dxa" w:w="110"/>
            </w:tcMar>
            <w:vAlign w:val="center"/>
          </w:tcPr>
          <w:p>
            <w:r>
              <w:rPr>
                <w:rFonts w:ascii="Times New Roman" w:cs="Times New Roman" w:eastAsia="Times New Roman" w:hAnsi="Times New Roman"/>
                <w:b w:val="false"/>
                <w:bCs w:val="false"/>
                <w:color w:val="404040"/>
                <w:sz w:val="19"/>
                <w:szCs w:val="19"/>
              </w:rPr>
              <w:t xml:space="preserve">London, United Kingdom</w:t>
            </w:r>
          </w:p>
        </w:tc>
        <w:tc>
          <w:tcPr>
            <w:tcW w:type="pct" w:w="16%"/>
            <w:tcBorders>
              <w:top w:val="single" w:color="BFBFBF" w:sz="4"/>
              <w:left w:val="single" w:color="BFBFBF" w:sz="4"/>
              <w:bottom w:val="single" w:color="BFBFBF" w:sz="4"/>
              <w:right w:val="single" w:color="BFBFBF" w:sz="4"/>
            </w:tcBorders>
            <w:shd w:fill="FFFFFF" w:val="clear"/>
            <w:tcMar>
              <w:top w:type="dxa" w:w="80"/>
              <w:left w:type="dxa" w:w="110"/>
              <w:bottom w:type="dxa" w:w="80"/>
              <w:right w:type="dxa" w:w="110"/>
            </w:tcMar>
            <w:vAlign w:val="center"/>
          </w:tcPr>
          <w:p>
            <w:r>
              <w:rPr>
                <w:rFonts w:ascii="Times New Roman" w:cs="Times New Roman" w:eastAsia="Times New Roman" w:hAnsi="Times New Roman"/>
                <w:b w:val="false"/>
                <w:bCs w:val="false"/>
                <w:color w:val="404040"/>
                <w:sz w:val="19"/>
                <w:szCs w:val="19"/>
              </w:rPr>
              <w:t xml:space="preserve">iOS 17</w:t>
            </w:r>
          </w:p>
        </w:tc>
        <w:tc>
          <w:tcPr>
            <w:tcW w:type="pct" w:w="8%"/>
            <w:tcBorders>
              <w:top w:val="single" w:color="BFBFBF" w:sz="4"/>
              <w:left w:val="single" w:color="BFBFBF" w:sz="4"/>
              <w:bottom w:val="single" w:color="BFBFBF" w:sz="4"/>
              <w:right w:val="single" w:color="BFBFBF" w:sz="4"/>
            </w:tcBorders>
            <w:shd w:fill="FFFFFF" w:val="clear"/>
            <w:tcMar>
              <w:top w:type="dxa" w:w="80"/>
              <w:left w:type="dxa" w:w="110"/>
              <w:bottom w:type="dxa" w:w="80"/>
              <w:right w:type="dxa" w:w="110"/>
            </w:tcMar>
            <w:vAlign w:val="center"/>
          </w:tcPr>
          <w:p>
            <w:r>
              <w:rPr>
                <w:rFonts w:ascii="Times New Roman" w:cs="Times New Roman" w:eastAsia="Times New Roman" w:hAnsi="Times New Roman"/>
                <w:b w:val="false"/>
                <w:bCs w:val="false"/>
                <w:color w:val="404040"/>
                <w:sz w:val="19"/>
                <w:szCs w:val="19"/>
              </w:rPr>
              <w:t xml:space="preserve">Genuine</w:t>
            </w:r>
          </w:p>
        </w:tc>
      </w:tr>
      <w:tr>
        <w:tc>
          <w:tcPr>
            <w:tcW w:type="pct" w:w="14%"/>
            <w:tcBorders>
              <w:top w:val="single" w:color="BFBFBF" w:sz="4"/>
              <w:left w:val="single" w:color="BFBFBF" w:sz="4"/>
              <w:bottom w:val="single" w:color="BFBFBF" w:sz="4"/>
              <w:right w:val="single" w:color="BFBFBF" w:sz="4"/>
            </w:tcBorders>
            <w:shd w:fill="F7F9FC" w:val="clear"/>
            <w:tcMar>
              <w:top w:type="dxa" w:w="80"/>
              <w:left w:type="dxa" w:w="110"/>
              <w:bottom w:type="dxa" w:w="80"/>
              <w:right w:type="dxa" w:w="110"/>
            </w:tcMar>
            <w:vAlign w:val="center"/>
          </w:tcPr>
          <w:p>
            <w:r>
              <w:rPr>
                <w:rFonts w:ascii="Times New Roman" w:cs="Times New Roman" w:eastAsia="Times New Roman" w:hAnsi="Times New Roman"/>
                <w:b w:val="false"/>
                <w:bCs w:val="false"/>
                <w:color w:val="404040"/>
                <w:sz w:val="19"/>
                <w:szCs w:val="19"/>
              </w:rPr>
              <w:t xml:space="preserve">13:22</w:t>
            </w:r>
          </w:p>
        </w:tc>
        <w:tc>
          <w:tcPr>
            <w:tcW w:type="pct" w:w="20%"/>
            <w:tcBorders>
              <w:top w:val="single" w:color="BFBFBF" w:sz="4"/>
              <w:left w:val="single" w:color="BFBFBF" w:sz="4"/>
              <w:bottom w:val="single" w:color="BFBFBF" w:sz="4"/>
              <w:right w:val="single" w:color="BFBFBF" w:sz="4"/>
            </w:tcBorders>
            <w:shd w:fill="F7F9FC" w:val="clear"/>
            <w:tcMar>
              <w:top w:type="dxa" w:w="80"/>
              <w:left w:type="dxa" w:w="110"/>
              <w:bottom w:type="dxa" w:w="80"/>
              <w:right w:type="dxa" w:w="110"/>
            </w:tcMar>
            <w:vAlign w:val="center"/>
          </w:tcPr>
          <w:p>
            <w:r>
              <w:rPr>
                <w:rFonts w:ascii="Times New Roman" w:cs="Times New Roman" w:eastAsia="Times New Roman" w:hAnsi="Times New Roman"/>
                <w:b w:val="false"/>
                <w:bCs w:val="false"/>
                <w:color w:val="404040"/>
                <w:sz w:val="19"/>
                <w:szCs w:val="19"/>
              </w:rPr>
              <w:t xml:space="preserve">Microsoft 365</w:t>
            </w:r>
          </w:p>
        </w:tc>
        <w:tc>
          <w:tcPr>
            <w:tcW w:type="pct" w:w="18%"/>
            <w:tcBorders>
              <w:top w:val="single" w:color="BFBFBF" w:sz="4"/>
              <w:left w:val="single" w:color="BFBFBF" w:sz="4"/>
              <w:bottom w:val="single" w:color="BFBFBF" w:sz="4"/>
              <w:right w:val="single" w:color="BFBFBF" w:sz="4"/>
            </w:tcBorders>
            <w:shd w:fill="F7F9FC" w:val="clear"/>
            <w:tcMar>
              <w:top w:type="dxa" w:w="80"/>
              <w:left w:type="dxa" w:w="110"/>
              <w:bottom w:type="dxa" w:w="80"/>
              <w:right w:type="dxa" w:w="110"/>
            </w:tcMar>
            <w:vAlign w:val="center"/>
          </w:tcPr>
          <w:p>
            <w:r>
              <w:rPr>
                <w:rFonts w:ascii="Times New Roman" w:cs="Times New Roman" w:eastAsia="Times New Roman" w:hAnsi="Times New Roman"/>
                <w:b w:val="false"/>
                <w:bCs w:val="false"/>
                <w:color w:val="404040"/>
                <w:sz w:val="19"/>
                <w:szCs w:val="19"/>
              </w:rPr>
              <w:t xml:space="preserve">198.18.7.200</w:t>
            </w:r>
          </w:p>
        </w:tc>
        <w:tc>
          <w:tcPr>
            <w:tcW w:type="pct" w:w="24%"/>
            <w:tcBorders>
              <w:top w:val="single" w:color="BFBFBF" w:sz="4"/>
              <w:left w:val="single" w:color="BFBFBF" w:sz="4"/>
              <w:bottom w:val="single" w:color="BFBFBF" w:sz="4"/>
              <w:right w:val="single" w:color="BFBFBF" w:sz="4"/>
            </w:tcBorders>
            <w:shd w:fill="F7F9FC" w:val="clear"/>
            <w:tcMar>
              <w:top w:type="dxa" w:w="80"/>
              <w:left w:type="dxa" w:w="110"/>
              <w:bottom w:type="dxa" w:w="80"/>
              <w:right w:type="dxa" w:w="110"/>
            </w:tcMar>
            <w:vAlign w:val="center"/>
          </w:tcPr>
          <w:p>
            <w:r>
              <w:rPr>
                <w:rFonts w:ascii="Times New Roman" w:cs="Times New Roman" w:eastAsia="Times New Roman" w:hAnsi="Times New Roman"/>
                <w:b w:val="false"/>
                <w:bCs w:val="false"/>
                <w:color w:val="404040"/>
                <w:sz w:val="19"/>
                <w:szCs w:val="19"/>
              </w:rPr>
              <w:t xml:space="preserve">Amsterdam, Netherlands</w:t>
            </w:r>
          </w:p>
        </w:tc>
        <w:tc>
          <w:tcPr>
            <w:tcW w:type="pct" w:w="16%"/>
            <w:tcBorders>
              <w:top w:val="single" w:color="BFBFBF" w:sz="4"/>
              <w:left w:val="single" w:color="BFBFBF" w:sz="4"/>
              <w:bottom w:val="single" w:color="BFBFBF" w:sz="4"/>
              <w:right w:val="single" w:color="BFBFBF" w:sz="4"/>
            </w:tcBorders>
            <w:shd w:fill="F7F9FC" w:val="clear"/>
            <w:tcMar>
              <w:top w:type="dxa" w:w="80"/>
              <w:left w:type="dxa" w:w="110"/>
              <w:bottom w:type="dxa" w:w="80"/>
              <w:right w:type="dxa" w:w="110"/>
            </w:tcMar>
            <w:vAlign w:val="center"/>
          </w:tcPr>
          <w:p>
            <w:r>
              <w:rPr>
                <w:rFonts w:ascii="Times New Roman" w:cs="Times New Roman" w:eastAsia="Times New Roman" w:hAnsi="Times New Roman"/>
                <w:b w:val="false"/>
                <w:bCs w:val="false"/>
                <w:color w:val="404040"/>
                <w:sz w:val="19"/>
                <w:szCs w:val="19"/>
              </w:rPr>
              <w:t xml:space="preserve">Windows 11 / Chrome</w:t>
            </w:r>
          </w:p>
        </w:tc>
        <w:tc>
          <w:tcPr>
            <w:tcW w:type="pct" w:w="8%"/>
            <w:tcBorders>
              <w:top w:val="single" w:color="BFBFBF" w:sz="4"/>
              <w:left w:val="single" w:color="BFBFBF" w:sz="4"/>
              <w:bottom w:val="single" w:color="BFBFBF" w:sz="4"/>
              <w:right w:val="single" w:color="BFBFBF" w:sz="4"/>
            </w:tcBorders>
            <w:shd w:fill="F7F9FC" w:val="clear"/>
            <w:tcMar>
              <w:top w:type="dxa" w:w="80"/>
              <w:left w:type="dxa" w:w="110"/>
              <w:bottom w:type="dxa" w:w="80"/>
              <w:right w:type="dxa" w:w="110"/>
            </w:tcMar>
            <w:vAlign w:val="center"/>
          </w:tcPr>
          <w:p>
            <w:r>
              <w:rPr>
                <w:rFonts w:ascii="Times New Roman" w:cs="Times New Roman" w:eastAsia="Times New Roman" w:hAnsi="Times New Roman"/>
                <w:b w:val="false"/>
                <w:bCs w:val="false"/>
                <w:color w:val="404040"/>
                <w:sz w:val="19"/>
                <w:szCs w:val="19"/>
              </w:rPr>
              <w:t xml:space="preserve">Attacker</w:t>
            </w:r>
          </w:p>
        </w:tc>
      </w:tr>
      <w:tr>
        <w:tc>
          <w:tcPr>
            <w:tcW w:type="pct" w:w="14%"/>
            <w:tcBorders>
              <w:top w:val="single" w:color="BFBFBF" w:sz="4"/>
              <w:left w:val="single" w:color="BFBFBF" w:sz="4"/>
              <w:bottom w:val="single" w:color="BFBFBF" w:sz="4"/>
              <w:right w:val="single" w:color="BFBFBF" w:sz="4"/>
            </w:tcBorders>
            <w:shd w:fill="FFFFFF" w:val="clear"/>
            <w:tcMar>
              <w:top w:type="dxa" w:w="80"/>
              <w:left w:type="dxa" w:w="110"/>
              <w:bottom w:type="dxa" w:w="80"/>
              <w:right w:type="dxa" w:w="110"/>
            </w:tcMar>
            <w:vAlign w:val="center"/>
          </w:tcPr>
          <w:p>
            <w:r>
              <w:rPr>
                <w:rFonts w:ascii="Times New Roman" w:cs="Times New Roman" w:eastAsia="Times New Roman" w:hAnsi="Times New Roman"/>
                <w:b w:val="false"/>
                <w:bCs w:val="false"/>
                <w:color w:val="404040"/>
                <w:sz w:val="19"/>
                <w:szCs w:val="19"/>
              </w:rPr>
              <w:t xml:space="preserve">13:25</w:t>
            </w:r>
          </w:p>
        </w:tc>
        <w:tc>
          <w:tcPr>
            <w:tcW w:type="pct" w:w="20%"/>
            <w:tcBorders>
              <w:top w:val="single" w:color="BFBFBF" w:sz="4"/>
              <w:left w:val="single" w:color="BFBFBF" w:sz="4"/>
              <w:bottom w:val="single" w:color="BFBFBF" w:sz="4"/>
              <w:right w:val="single" w:color="BFBFBF" w:sz="4"/>
            </w:tcBorders>
            <w:shd w:fill="FFFFFF" w:val="clear"/>
            <w:tcMar>
              <w:top w:type="dxa" w:w="80"/>
              <w:left w:type="dxa" w:w="110"/>
              <w:bottom w:type="dxa" w:w="80"/>
              <w:right w:type="dxa" w:w="110"/>
            </w:tcMar>
            <w:vAlign w:val="center"/>
          </w:tcPr>
          <w:p>
            <w:r>
              <w:rPr>
                <w:rFonts w:ascii="Times New Roman" w:cs="Times New Roman" w:eastAsia="Times New Roman" w:hAnsi="Times New Roman"/>
                <w:b w:val="false"/>
                <w:bCs w:val="false"/>
                <w:color w:val="404040"/>
                <w:sz w:val="19"/>
                <w:szCs w:val="19"/>
              </w:rPr>
              <w:t xml:space="preserve">Outlook Web App</w:t>
            </w:r>
          </w:p>
        </w:tc>
        <w:tc>
          <w:tcPr>
            <w:tcW w:type="pct" w:w="18%"/>
            <w:tcBorders>
              <w:top w:val="single" w:color="BFBFBF" w:sz="4"/>
              <w:left w:val="single" w:color="BFBFBF" w:sz="4"/>
              <w:bottom w:val="single" w:color="BFBFBF" w:sz="4"/>
              <w:right w:val="single" w:color="BFBFBF" w:sz="4"/>
            </w:tcBorders>
            <w:shd w:fill="FFFFFF" w:val="clear"/>
            <w:tcMar>
              <w:top w:type="dxa" w:w="80"/>
              <w:left w:type="dxa" w:w="110"/>
              <w:bottom w:type="dxa" w:w="80"/>
              <w:right w:type="dxa" w:w="110"/>
            </w:tcMar>
            <w:vAlign w:val="center"/>
          </w:tcPr>
          <w:p>
            <w:r>
              <w:rPr>
                <w:rFonts w:ascii="Times New Roman" w:cs="Times New Roman" w:eastAsia="Times New Roman" w:hAnsi="Times New Roman"/>
                <w:b w:val="false"/>
                <w:bCs w:val="false"/>
                <w:color w:val="404040"/>
                <w:sz w:val="19"/>
                <w:szCs w:val="19"/>
              </w:rPr>
              <w:t xml:space="preserve">198.18.7.200</w:t>
            </w:r>
          </w:p>
        </w:tc>
        <w:tc>
          <w:tcPr>
            <w:tcW w:type="pct" w:w="24%"/>
            <w:tcBorders>
              <w:top w:val="single" w:color="BFBFBF" w:sz="4"/>
              <w:left w:val="single" w:color="BFBFBF" w:sz="4"/>
              <w:bottom w:val="single" w:color="BFBFBF" w:sz="4"/>
              <w:right w:val="single" w:color="BFBFBF" w:sz="4"/>
            </w:tcBorders>
            <w:shd w:fill="FFFFFF" w:val="clear"/>
            <w:tcMar>
              <w:top w:type="dxa" w:w="80"/>
              <w:left w:type="dxa" w:w="110"/>
              <w:bottom w:type="dxa" w:w="80"/>
              <w:right w:type="dxa" w:w="110"/>
            </w:tcMar>
            <w:vAlign w:val="center"/>
          </w:tcPr>
          <w:p>
            <w:r>
              <w:rPr>
                <w:rFonts w:ascii="Times New Roman" w:cs="Times New Roman" w:eastAsia="Times New Roman" w:hAnsi="Times New Roman"/>
                <w:b w:val="false"/>
                <w:bCs w:val="false"/>
                <w:color w:val="404040"/>
                <w:sz w:val="19"/>
                <w:szCs w:val="19"/>
              </w:rPr>
              <w:t xml:space="preserve">Amsterdam, Netherlands</w:t>
            </w:r>
          </w:p>
        </w:tc>
        <w:tc>
          <w:tcPr>
            <w:tcW w:type="pct" w:w="16%"/>
            <w:tcBorders>
              <w:top w:val="single" w:color="BFBFBF" w:sz="4"/>
              <w:left w:val="single" w:color="BFBFBF" w:sz="4"/>
              <w:bottom w:val="single" w:color="BFBFBF" w:sz="4"/>
              <w:right w:val="single" w:color="BFBFBF" w:sz="4"/>
            </w:tcBorders>
            <w:shd w:fill="FFFFFF" w:val="clear"/>
            <w:tcMar>
              <w:top w:type="dxa" w:w="80"/>
              <w:left w:type="dxa" w:w="110"/>
              <w:bottom w:type="dxa" w:w="80"/>
              <w:right w:type="dxa" w:w="110"/>
            </w:tcMar>
            <w:vAlign w:val="center"/>
          </w:tcPr>
          <w:p>
            <w:r>
              <w:rPr>
                <w:rFonts w:ascii="Times New Roman" w:cs="Times New Roman" w:eastAsia="Times New Roman" w:hAnsi="Times New Roman"/>
                <w:b w:val="false"/>
                <w:bCs w:val="false"/>
                <w:color w:val="404040"/>
                <w:sz w:val="19"/>
                <w:szCs w:val="19"/>
              </w:rPr>
              <w:t xml:space="preserve">Windows 11 / Chrome</w:t>
            </w:r>
          </w:p>
        </w:tc>
        <w:tc>
          <w:tcPr>
            <w:tcW w:type="pct" w:w="8%"/>
            <w:tcBorders>
              <w:top w:val="single" w:color="BFBFBF" w:sz="4"/>
              <w:left w:val="single" w:color="BFBFBF" w:sz="4"/>
              <w:bottom w:val="single" w:color="BFBFBF" w:sz="4"/>
              <w:right w:val="single" w:color="BFBFBF" w:sz="4"/>
            </w:tcBorders>
            <w:shd w:fill="FFFFFF" w:val="clear"/>
            <w:tcMar>
              <w:top w:type="dxa" w:w="80"/>
              <w:left w:type="dxa" w:w="110"/>
              <w:bottom w:type="dxa" w:w="80"/>
              <w:right w:type="dxa" w:w="110"/>
            </w:tcMar>
            <w:vAlign w:val="center"/>
          </w:tcPr>
          <w:p>
            <w:r>
              <w:rPr>
                <w:rFonts w:ascii="Times New Roman" w:cs="Times New Roman" w:eastAsia="Times New Roman" w:hAnsi="Times New Roman"/>
                <w:b w:val="false"/>
                <w:bCs w:val="false"/>
                <w:color w:val="404040"/>
                <w:sz w:val="19"/>
                <w:szCs w:val="19"/>
              </w:rPr>
              <w:t xml:space="preserve">Attacker</w:t>
            </w:r>
          </w:p>
        </w:tc>
      </w:tr>
      <w:tr>
        <w:tc>
          <w:tcPr>
            <w:tcW w:type="pct" w:w="14%"/>
            <w:tcBorders>
              <w:top w:val="single" w:color="BFBFBF" w:sz="4"/>
              <w:left w:val="single" w:color="BFBFBF" w:sz="4"/>
              <w:bottom w:val="single" w:color="BFBFBF" w:sz="4"/>
              <w:right w:val="single" w:color="BFBFBF" w:sz="4"/>
            </w:tcBorders>
            <w:shd w:fill="F7F9FC" w:val="clear"/>
            <w:tcMar>
              <w:top w:type="dxa" w:w="80"/>
              <w:left w:type="dxa" w:w="110"/>
              <w:bottom w:type="dxa" w:w="80"/>
              <w:right w:type="dxa" w:w="110"/>
            </w:tcMar>
            <w:vAlign w:val="center"/>
          </w:tcPr>
          <w:p>
            <w:r>
              <w:rPr>
                <w:rFonts w:ascii="Times New Roman" w:cs="Times New Roman" w:eastAsia="Times New Roman" w:hAnsi="Times New Roman"/>
                <w:b w:val="false"/>
                <w:bCs w:val="false"/>
                <w:color w:val="404040"/>
                <w:sz w:val="19"/>
                <w:szCs w:val="19"/>
              </w:rPr>
              <w:t xml:space="preserve">13:43</w:t>
            </w:r>
          </w:p>
        </w:tc>
        <w:tc>
          <w:tcPr>
            <w:tcW w:type="pct" w:w="20%"/>
            <w:tcBorders>
              <w:top w:val="single" w:color="BFBFBF" w:sz="4"/>
              <w:left w:val="single" w:color="BFBFBF" w:sz="4"/>
              <w:bottom w:val="single" w:color="BFBFBF" w:sz="4"/>
              <w:right w:val="single" w:color="BFBFBF" w:sz="4"/>
            </w:tcBorders>
            <w:shd w:fill="F7F9FC" w:val="clear"/>
            <w:tcMar>
              <w:top w:type="dxa" w:w="80"/>
              <w:left w:type="dxa" w:w="110"/>
              <w:bottom w:type="dxa" w:w="80"/>
              <w:right w:type="dxa" w:w="110"/>
            </w:tcMar>
            <w:vAlign w:val="center"/>
          </w:tcPr>
          <w:p>
            <w:r>
              <w:rPr>
                <w:rFonts w:ascii="Times New Roman" w:cs="Times New Roman" w:eastAsia="Times New Roman" w:hAnsi="Times New Roman"/>
                <w:b w:val="false"/>
                <w:bCs w:val="false"/>
                <w:color w:val="404040"/>
                <w:sz w:val="19"/>
                <w:szCs w:val="19"/>
              </w:rPr>
              <w:t xml:space="preserve">Outlook Web App</w:t>
            </w:r>
          </w:p>
        </w:tc>
        <w:tc>
          <w:tcPr>
            <w:tcW w:type="pct" w:w="18%"/>
            <w:tcBorders>
              <w:top w:val="single" w:color="BFBFBF" w:sz="4"/>
              <w:left w:val="single" w:color="BFBFBF" w:sz="4"/>
              <w:bottom w:val="single" w:color="BFBFBF" w:sz="4"/>
              <w:right w:val="single" w:color="BFBFBF" w:sz="4"/>
            </w:tcBorders>
            <w:shd w:fill="F7F9FC" w:val="clear"/>
            <w:tcMar>
              <w:top w:type="dxa" w:w="80"/>
              <w:left w:type="dxa" w:w="110"/>
              <w:bottom w:type="dxa" w:w="80"/>
              <w:right w:type="dxa" w:w="110"/>
            </w:tcMar>
            <w:vAlign w:val="center"/>
          </w:tcPr>
          <w:p>
            <w:r>
              <w:rPr>
                <w:rFonts w:ascii="Times New Roman" w:cs="Times New Roman" w:eastAsia="Times New Roman" w:hAnsi="Times New Roman"/>
                <w:b w:val="false"/>
                <w:bCs w:val="false"/>
                <w:color w:val="404040"/>
                <w:sz w:val="19"/>
                <w:szCs w:val="19"/>
              </w:rPr>
              <w:t xml:space="preserve">203.0.113.10</w:t>
            </w:r>
          </w:p>
        </w:tc>
        <w:tc>
          <w:tcPr>
            <w:tcW w:type="pct" w:w="24%"/>
            <w:tcBorders>
              <w:top w:val="single" w:color="BFBFBF" w:sz="4"/>
              <w:left w:val="single" w:color="BFBFBF" w:sz="4"/>
              <w:bottom w:val="single" w:color="BFBFBF" w:sz="4"/>
              <w:right w:val="single" w:color="BFBFBF" w:sz="4"/>
            </w:tcBorders>
            <w:shd w:fill="F7F9FC" w:val="clear"/>
            <w:tcMar>
              <w:top w:type="dxa" w:w="80"/>
              <w:left w:type="dxa" w:w="110"/>
              <w:bottom w:type="dxa" w:w="80"/>
              <w:right w:type="dxa" w:w="110"/>
            </w:tcMar>
            <w:vAlign w:val="center"/>
          </w:tcPr>
          <w:p>
            <w:r>
              <w:rPr>
                <w:rFonts w:ascii="Times New Roman" w:cs="Times New Roman" w:eastAsia="Times New Roman" w:hAnsi="Times New Roman"/>
                <w:b w:val="false"/>
                <w:bCs w:val="false"/>
                <w:color w:val="404040"/>
                <w:sz w:val="19"/>
                <w:szCs w:val="19"/>
              </w:rPr>
              <w:t xml:space="preserve">London, United Kingdom</w:t>
            </w:r>
          </w:p>
        </w:tc>
        <w:tc>
          <w:tcPr>
            <w:tcW w:type="pct" w:w="16%"/>
            <w:tcBorders>
              <w:top w:val="single" w:color="BFBFBF" w:sz="4"/>
              <w:left w:val="single" w:color="BFBFBF" w:sz="4"/>
              <w:bottom w:val="single" w:color="BFBFBF" w:sz="4"/>
              <w:right w:val="single" w:color="BFBFBF" w:sz="4"/>
            </w:tcBorders>
            <w:shd w:fill="F7F9FC" w:val="clear"/>
            <w:tcMar>
              <w:top w:type="dxa" w:w="80"/>
              <w:left w:type="dxa" w:w="110"/>
              <w:bottom w:type="dxa" w:w="80"/>
              <w:right w:type="dxa" w:w="110"/>
            </w:tcMar>
            <w:vAlign w:val="center"/>
          </w:tcPr>
          <w:p>
            <w:r>
              <w:rPr>
                <w:rFonts w:ascii="Times New Roman" w:cs="Times New Roman" w:eastAsia="Times New Roman" w:hAnsi="Times New Roman"/>
                <w:b w:val="false"/>
                <w:bCs w:val="false"/>
                <w:color w:val="404040"/>
                <w:sz w:val="19"/>
                <w:szCs w:val="19"/>
              </w:rPr>
              <w:t xml:space="preserve">iOS 17</w:t>
            </w:r>
          </w:p>
        </w:tc>
        <w:tc>
          <w:tcPr>
            <w:tcW w:type="pct" w:w="8%"/>
            <w:tcBorders>
              <w:top w:val="single" w:color="BFBFBF" w:sz="4"/>
              <w:left w:val="single" w:color="BFBFBF" w:sz="4"/>
              <w:bottom w:val="single" w:color="BFBFBF" w:sz="4"/>
              <w:right w:val="single" w:color="BFBFBF" w:sz="4"/>
            </w:tcBorders>
            <w:shd w:fill="F7F9FC" w:val="clear"/>
            <w:tcMar>
              <w:top w:type="dxa" w:w="80"/>
              <w:left w:type="dxa" w:w="110"/>
              <w:bottom w:type="dxa" w:w="80"/>
              <w:right w:type="dxa" w:w="110"/>
            </w:tcMar>
            <w:vAlign w:val="center"/>
          </w:tcPr>
          <w:p>
            <w:r>
              <w:rPr>
                <w:rFonts w:ascii="Times New Roman" w:cs="Times New Roman" w:eastAsia="Times New Roman" w:hAnsi="Times New Roman"/>
                <w:b w:val="false"/>
                <w:bCs w:val="false"/>
                <w:color w:val="404040"/>
                <w:sz w:val="19"/>
                <w:szCs w:val="19"/>
              </w:rPr>
              <w:t xml:space="preserve">Genuine</w:t>
            </w:r>
          </w:p>
        </w:tc>
      </w:tr>
    </w:tbl>
    <w:p>
      <w:pPr>
        <w:spacing w:after="160" w:line="276"/>
        <w:jc w:val="both"/>
      </w:pPr>
      <w:r>
        <w:rPr>
          <w:rFonts w:ascii="Times New Roman" w:cs="Times New Roman" w:eastAsia="Times New Roman" w:hAnsi="Times New Roman"/>
          <w:color w:val="404040"/>
          <w:sz w:val="22"/>
          <w:szCs w:val="22"/>
        </w:rPr>
        <w:t xml:space="preserve">Ryan works normally from London on his iPhone, submits credentials to Variant B at 09:05, and at 13:22 the attacker signs in from the same Amsterdam IP used against Freya, on the same unfamiliar Windows/Chrome device — an eighteen-minute gap either side of his own genuine London sign-ins, which is impossible travel. Notably, both compromises show a clean first-try successful login with no failed attempts beforehand — the fingerprint of a phished password being used directly, in contrast to the failed-attempts-then-success pattern of a password-spray compromise.</w:t>
      </w:r>
    </w:p>
    <w:p>
      <w:pPr>
        <w:pStyle w:val="Heading2"/>
        <w:spacing w:after="140" w:before="320"/>
      </w:pPr>
      <w:r>
        <w:rPr>
          <w:rFonts w:ascii="Times New Roman" w:cs="Times New Roman" w:eastAsia="Times New Roman" w:hAnsi="Times New Roman"/>
          <w:b/>
          <w:bCs/>
          <w:color w:val="1F3864"/>
          <w:sz w:val="25"/>
          <w:szCs w:val="25"/>
        </w:rPr>
        <w:t xml:space="preserve">5.8 Scope confirmation — pivoting on the attacker IP</w:t>
      </w:r>
    </w:p>
    <w:p>
      <w:pPr>
        <w:spacing w:after="160" w:line="276"/>
        <w:jc w:val="both"/>
      </w:pPr>
      <w:r>
        <w:rPr>
          <w:rFonts w:ascii="Times New Roman" w:cs="Times New Roman" w:eastAsia="Times New Roman" w:hAnsi="Times New Roman"/>
          <w:color w:val="404040"/>
          <w:sz w:val="22"/>
          <w:szCs w:val="22"/>
        </w:rPr>
        <w:t xml:space="preserve">Query: every successful sign-in from 198.18.7.200 across the tenant.</w:t>
      </w:r>
    </w:p>
    <w:p>
      <w:pPr>
        <w:spacing w:after="160" w:line="276"/>
        <w:jc w:val="both"/>
      </w:pPr>
      <w:r>
        <w:rPr>
          <w:rFonts w:ascii="Times New Roman" w:cs="Times New Roman" w:eastAsia="Times New Roman" w:hAnsi="Times New Roman"/>
          <w:color w:val="404040"/>
          <w:sz w:val="22"/>
          <w:szCs w:val="22"/>
        </w:rPr>
        <w:t xml:space="preserve">Pivoting on the Amsterdam login IP, rather than assuming Freya was the only victim, returns exactly two accounts: freya.lynn@cloudora.io and ryan.boyd@cloudora.io. No other account shows a successful sign-in from this address, confirming the compromise is limited to the two credential submitters.</w:t>
      </w:r>
    </w:p>
    <w:p>
      <w:pPr>
        <w:pStyle w:val="Heading2"/>
        <w:spacing w:after="140" w:before="320"/>
      </w:pPr>
      <w:r>
        <w:rPr>
          <w:rFonts w:ascii="Times New Roman" w:cs="Times New Roman" w:eastAsia="Times New Roman" w:hAnsi="Times New Roman"/>
          <w:b/>
          <w:bCs/>
          <w:color w:val="1F3864"/>
          <w:sz w:val="25"/>
          <w:szCs w:val="25"/>
        </w:rPr>
        <w:t xml:space="preserve">5.9 Population tiering</w:t>
      </w:r>
    </w:p>
    <w:p>
      <w:pPr>
        <w:spacing w:after="160" w:line="276"/>
        <w:jc w:val="both"/>
      </w:pPr>
      <w:r>
        <w:rPr>
          <w:rFonts w:ascii="Times New Roman" w:cs="Times New Roman" w:eastAsia="Times New Roman" w:hAnsi="Times New Roman"/>
          <w:color w:val="404040"/>
          <w:sz w:val="22"/>
          <w:szCs w:val="22"/>
        </w:rPr>
        <w:t xml:space="preserve">Sorting all 40 targeted accounts into the correct risk tier is central to a proportionate response. Full lists are in Appendix B.</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3840"/>
        <w:gridCol w:w="1920"/>
        <w:gridCol w:w="3840"/>
      </w:tblGrid>
      <w:tr>
        <w:trPr>
          <w:tblHeader/>
        </w:trPr>
        <w:tc>
          <w:tcPr>
            <w:tcW w:type="pct" w:w="40%"/>
            <w:tcBorders>
              <w:top w:val="single" w:color="1F3864" w:sz="4"/>
              <w:left w:val="single" w:color="1F3864" w:sz="4"/>
              <w:bottom w:val="single" w:color="1F3864" w:sz="4"/>
              <w:right w:val="single" w:color="1F3864" w:sz="4"/>
            </w:tcBorders>
            <w:shd w:fill="1F3864" w:val="clear"/>
            <w:tcMar>
              <w:top w:type="dxa" w:w="90"/>
              <w:left w:type="dxa" w:w="110"/>
              <w:bottom w:type="dxa" w:w="90"/>
              <w:right w:type="dxa" w:w="110"/>
            </w:tcMar>
            <w:vAlign w:val="center"/>
          </w:tcPr>
          <w:p>
            <w:r>
              <w:rPr>
                <w:rFonts w:ascii="Times New Roman" w:cs="Times New Roman" w:eastAsia="Times New Roman" w:hAnsi="Times New Roman"/>
                <w:b/>
                <w:bCs/>
                <w:color w:val="FFFFFF"/>
                <w:sz w:val="19"/>
                <w:szCs w:val="19"/>
              </w:rPr>
              <w:t xml:space="preserve">Tier</w:t>
            </w:r>
          </w:p>
        </w:tc>
        <w:tc>
          <w:tcPr>
            <w:tcW w:type="pct" w:w="20%"/>
            <w:tcBorders>
              <w:top w:val="single" w:color="1F3864" w:sz="4"/>
              <w:left w:val="single" w:color="1F3864" w:sz="4"/>
              <w:bottom w:val="single" w:color="1F3864" w:sz="4"/>
              <w:right w:val="single" w:color="1F3864" w:sz="4"/>
            </w:tcBorders>
            <w:shd w:fill="1F3864" w:val="clear"/>
            <w:tcMar>
              <w:top w:type="dxa" w:w="90"/>
              <w:left w:type="dxa" w:w="110"/>
              <w:bottom w:type="dxa" w:w="90"/>
              <w:right w:type="dxa" w:w="110"/>
            </w:tcMar>
            <w:vAlign w:val="center"/>
          </w:tcPr>
          <w:p>
            <w:r>
              <w:rPr>
                <w:rFonts w:ascii="Times New Roman" w:cs="Times New Roman" w:eastAsia="Times New Roman" w:hAnsi="Times New Roman"/>
                <w:b/>
                <w:bCs/>
                <w:color w:val="FFFFFF"/>
                <w:sz w:val="19"/>
                <w:szCs w:val="19"/>
              </w:rPr>
              <w:t xml:space="preserve">Count</w:t>
            </w:r>
          </w:p>
        </w:tc>
        <w:tc>
          <w:tcPr>
            <w:tcW w:type="pct" w:w="40%"/>
            <w:tcBorders>
              <w:top w:val="single" w:color="1F3864" w:sz="4"/>
              <w:left w:val="single" w:color="1F3864" w:sz="4"/>
              <w:bottom w:val="single" w:color="1F3864" w:sz="4"/>
              <w:right w:val="single" w:color="1F3864" w:sz="4"/>
            </w:tcBorders>
            <w:shd w:fill="1F3864" w:val="clear"/>
            <w:tcMar>
              <w:top w:type="dxa" w:w="90"/>
              <w:left w:type="dxa" w:w="110"/>
              <w:bottom w:type="dxa" w:w="90"/>
              <w:right w:type="dxa" w:w="110"/>
            </w:tcMar>
            <w:vAlign w:val="center"/>
          </w:tcPr>
          <w:p>
            <w:r>
              <w:rPr>
                <w:rFonts w:ascii="Times New Roman" w:cs="Times New Roman" w:eastAsia="Times New Roman" w:hAnsi="Times New Roman"/>
                <w:b/>
                <w:bCs/>
                <w:color w:val="FFFFFF"/>
                <w:sz w:val="19"/>
                <w:szCs w:val="19"/>
              </w:rPr>
              <w:t xml:space="preserve">Action</w:t>
            </w:r>
          </w:p>
        </w:tc>
      </w:tr>
      <w:tr>
        <w:tc>
          <w:tcPr>
            <w:tcW w:type="pct" w:w="40%"/>
            <w:tcBorders>
              <w:top w:val="single" w:color="BFBFBF" w:sz="4"/>
              <w:left w:val="single" w:color="BFBFBF" w:sz="4"/>
              <w:bottom w:val="single" w:color="BFBFBF" w:sz="4"/>
              <w:right w:val="single" w:color="BFBFBF" w:sz="4"/>
            </w:tcBorders>
            <w:shd w:fill="FFFFFF" w:val="clear"/>
            <w:tcMar>
              <w:top w:type="dxa" w:w="80"/>
              <w:left w:type="dxa" w:w="110"/>
              <w:bottom w:type="dxa" w:w="80"/>
              <w:right w:type="dxa" w:w="110"/>
            </w:tcMar>
            <w:vAlign w:val="center"/>
          </w:tcPr>
          <w:p>
            <w:r>
              <w:rPr>
                <w:rFonts w:ascii="Times New Roman" w:cs="Times New Roman" w:eastAsia="Times New Roman" w:hAnsi="Times New Roman"/>
                <w:b w:val="false"/>
                <w:bCs w:val="false"/>
                <w:color w:val="404040"/>
                <w:sz w:val="19"/>
                <w:szCs w:val="19"/>
              </w:rPr>
              <w:t xml:space="preserve">Confirmed compromised (submitted credentials, attacker signed in)</w:t>
            </w:r>
          </w:p>
        </w:tc>
        <w:tc>
          <w:tcPr>
            <w:tcW w:type="pct" w:w="20%"/>
            <w:tcBorders>
              <w:top w:val="single" w:color="BFBFBF" w:sz="4"/>
              <w:left w:val="single" w:color="BFBFBF" w:sz="4"/>
              <w:bottom w:val="single" w:color="BFBFBF" w:sz="4"/>
              <w:right w:val="single" w:color="BFBFBF" w:sz="4"/>
            </w:tcBorders>
            <w:shd w:fill="FFFFFF" w:val="clear"/>
            <w:tcMar>
              <w:top w:type="dxa" w:w="80"/>
              <w:left w:type="dxa" w:w="110"/>
              <w:bottom w:type="dxa" w:w="80"/>
              <w:right w:type="dxa" w:w="110"/>
            </w:tcMar>
            <w:vAlign w:val="center"/>
          </w:tcPr>
          <w:p>
            <w:r>
              <w:rPr>
                <w:rFonts w:ascii="Times New Roman" w:cs="Times New Roman" w:eastAsia="Times New Roman" w:hAnsi="Times New Roman"/>
                <w:b w:val="false"/>
                <w:bCs w:val="false"/>
                <w:color w:val="404040"/>
                <w:sz w:val="19"/>
                <w:szCs w:val="19"/>
              </w:rPr>
              <w:t xml:space="preserve">2</w:t>
            </w:r>
          </w:p>
        </w:tc>
        <w:tc>
          <w:tcPr>
            <w:tcW w:type="pct" w:w="40%"/>
            <w:tcBorders>
              <w:top w:val="single" w:color="BFBFBF" w:sz="4"/>
              <w:left w:val="single" w:color="BFBFBF" w:sz="4"/>
              <w:bottom w:val="single" w:color="BFBFBF" w:sz="4"/>
              <w:right w:val="single" w:color="BFBFBF" w:sz="4"/>
            </w:tcBorders>
            <w:shd w:fill="FFFFFF" w:val="clear"/>
            <w:tcMar>
              <w:top w:type="dxa" w:w="80"/>
              <w:left w:type="dxa" w:w="110"/>
              <w:bottom w:type="dxa" w:w="80"/>
              <w:right w:type="dxa" w:w="110"/>
            </w:tcMar>
            <w:vAlign w:val="center"/>
          </w:tcPr>
          <w:p>
            <w:r>
              <w:rPr>
                <w:rFonts w:ascii="Times New Roman" w:cs="Times New Roman" w:eastAsia="Times New Roman" w:hAnsi="Times New Roman"/>
                <w:b w:val="false"/>
                <w:bCs w:val="false"/>
                <w:color w:val="404040"/>
                <w:sz w:val="19"/>
                <w:szCs w:val="19"/>
              </w:rPr>
              <w:t xml:space="preserve">Full containment (Section 9)</w:t>
            </w:r>
          </w:p>
        </w:tc>
      </w:tr>
      <w:tr>
        <w:tc>
          <w:tcPr>
            <w:tcW w:type="pct" w:w="40%"/>
            <w:tcBorders>
              <w:top w:val="single" w:color="BFBFBF" w:sz="4"/>
              <w:left w:val="single" w:color="BFBFBF" w:sz="4"/>
              <w:bottom w:val="single" w:color="BFBFBF" w:sz="4"/>
              <w:right w:val="single" w:color="BFBFBF" w:sz="4"/>
            </w:tcBorders>
            <w:shd w:fill="F7F9FC" w:val="clear"/>
            <w:tcMar>
              <w:top w:type="dxa" w:w="80"/>
              <w:left w:type="dxa" w:w="110"/>
              <w:bottom w:type="dxa" w:w="80"/>
              <w:right w:type="dxa" w:w="110"/>
            </w:tcMar>
            <w:vAlign w:val="center"/>
          </w:tcPr>
          <w:p>
            <w:r>
              <w:rPr>
                <w:rFonts w:ascii="Times New Roman" w:cs="Times New Roman" w:eastAsia="Times New Roman" w:hAnsi="Times New Roman"/>
                <w:b w:val="false"/>
                <w:bCs w:val="false"/>
                <w:color w:val="404040"/>
                <w:sz w:val="19"/>
                <w:szCs w:val="19"/>
              </w:rPr>
              <w:t xml:space="preserve">Clicked, no credentials submitted</w:t>
            </w:r>
          </w:p>
        </w:tc>
        <w:tc>
          <w:tcPr>
            <w:tcW w:type="pct" w:w="20%"/>
            <w:tcBorders>
              <w:top w:val="single" w:color="BFBFBF" w:sz="4"/>
              <w:left w:val="single" w:color="BFBFBF" w:sz="4"/>
              <w:bottom w:val="single" w:color="BFBFBF" w:sz="4"/>
              <w:right w:val="single" w:color="BFBFBF" w:sz="4"/>
            </w:tcBorders>
            <w:shd w:fill="F7F9FC" w:val="clear"/>
            <w:tcMar>
              <w:top w:type="dxa" w:w="80"/>
              <w:left w:type="dxa" w:w="110"/>
              <w:bottom w:type="dxa" w:w="80"/>
              <w:right w:type="dxa" w:w="110"/>
            </w:tcMar>
            <w:vAlign w:val="center"/>
          </w:tcPr>
          <w:p>
            <w:r>
              <w:rPr>
                <w:rFonts w:ascii="Times New Roman" w:cs="Times New Roman" w:eastAsia="Times New Roman" w:hAnsi="Times New Roman"/>
                <w:b w:val="false"/>
                <w:bCs w:val="false"/>
                <w:color w:val="404040"/>
                <w:sz w:val="19"/>
                <w:szCs w:val="19"/>
              </w:rPr>
              <w:t xml:space="preserve">4</w:t>
            </w:r>
          </w:p>
        </w:tc>
        <w:tc>
          <w:tcPr>
            <w:tcW w:type="pct" w:w="40%"/>
            <w:tcBorders>
              <w:top w:val="single" w:color="BFBFBF" w:sz="4"/>
              <w:left w:val="single" w:color="BFBFBF" w:sz="4"/>
              <w:bottom w:val="single" w:color="BFBFBF" w:sz="4"/>
              <w:right w:val="single" w:color="BFBFBF" w:sz="4"/>
            </w:tcBorders>
            <w:shd w:fill="F7F9FC" w:val="clear"/>
            <w:tcMar>
              <w:top w:type="dxa" w:w="80"/>
              <w:left w:type="dxa" w:w="110"/>
              <w:bottom w:type="dxa" w:w="80"/>
              <w:right w:type="dxa" w:w="110"/>
            </w:tcMar>
            <w:vAlign w:val="center"/>
          </w:tcPr>
          <w:p>
            <w:r>
              <w:rPr>
                <w:rFonts w:ascii="Times New Roman" w:cs="Times New Roman" w:eastAsia="Times New Roman" w:hAnsi="Times New Roman"/>
                <w:b w:val="false"/>
                <w:bCs w:val="false"/>
                <w:color w:val="404040"/>
                <w:sz w:val="19"/>
                <w:szCs w:val="19"/>
              </w:rPr>
              <w:t xml:space="preserve">Precautionary password reset, direct check-in</w:t>
            </w:r>
          </w:p>
        </w:tc>
      </w:tr>
      <w:tr>
        <w:tc>
          <w:tcPr>
            <w:tcW w:type="pct" w:w="40%"/>
            <w:tcBorders>
              <w:top w:val="single" w:color="BFBFBF" w:sz="4"/>
              <w:left w:val="single" w:color="BFBFBF" w:sz="4"/>
              <w:bottom w:val="single" w:color="BFBFBF" w:sz="4"/>
              <w:right w:val="single" w:color="BFBFBF" w:sz="4"/>
            </w:tcBorders>
            <w:shd w:fill="FFFFFF" w:val="clear"/>
            <w:tcMar>
              <w:top w:type="dxa" w:w="80"/>
              <w:left w:type="dxa" w:w="110"/>
              <w:bottom w:type="dxa" w:w="80"/>
              <w:right w:type="dxa" w:w="110"/>
            </w:tcMar>
            <w:vAlign w:val="center"/>
          </w:tcPr>
          <w:p>
            <w:r>
              <w:rPr>
                <w:rFonts w:ascii="Times New Roman" w:cs="Times New Roman" w:eastAsia="Times New Roman" w:hAnsi="Times New Roman"/>
                <w:b w:val="false"/>
                <w:bCs w:val="false"/>
                <w:color w:val="404040"/>
                <w:sz w:val="19"/>
                <w:szCs w:val="19"/>
              </w:rPr>
              <w:t xml:space="preserve">Received, did not click (near-miss)</w:t>
            </w:r>
          </w:p>
        </w:tc>
        <w:tc>
          <w:tcPr>
            <w:tcW w:type="pct" w:w="20%"/>
            <w:tcBorders>
              <w:top w:val="single" w:color="BFBFBF" w:sz="4"/>
              <w:left w:val="single" w:color="BFBFBF" w:sz="4"/>
              <w:bottom w:val="single" w:color="BFBFBF" w:sz="4"/>
              <w:right w:val="single" w:color="BFBFBF" w:sz="4"/>
            </w:tcBorders>
            <w:shd w:fill="FFFFFF" w:val="clear"/>
            <w:tcMar>
              <w:top w:type="dxa" w:w="80"/>
              <w:left w:type="dxa" w:w="110"/>
              <w:bottom w:type="dxa" w:w="80"/>
              <w:right w:type="dxa" w:w="110"/>
            </w:tcMar>
            <w:vAlign w:val="center"/>
          </w:tcPr>
          <w:p>
            <w:r>
              <w:rPr>
                <w:rFonts w:ascii="Times New Roman" w:cs="Times New Roman" w:eastAsia="Times New Roman" w:hAnsi="Times New Roman"/>
                <w:b w:val="false"/>
                <w:bCs w:val="false"/>
                <w:color w:val="404040"/>
                <w:sz w:val="19"/>
                <w:szCs w:val="19"/>
              </w:rPr>
              <w:t xml:space="preserve">30</w:t>
            </w:r>
          </w:p>
        </w:tc>
        <w:tc>
          <w:tcPr>
            <w:tcW w:type="pct" w:w="40%"/>
            <w:tcBorders>
              <w:top w:val="single" w:color="BFBFBF" w:sz="4"/>
              <w:left w:val="single" w:color="BFBFBF" w:sz="4"/>
              <w:bottom w:val="single" w:color="BFBFBF" w:sz="4"/>
              <w:right w:val="single" w:color="BFBFBF" w:sz="4"/>
            </w:tcBorders>
            <w:shd w:fill="FFFFFF" w:val="clear"/>
            <w:tcMar>
              <w:top w:type="dxa" w:w="80"/>
              <w:left w:type="dxa" w:w="110"/>
              <w:bottom w:type="dxa" w:w="80"/>
              <w:right w:type="dxa" w:w="110"/>
            </w:tcMar>
            <w:vAlign w:val="center"/>
          </w:tcPr>
          <w:p>
            <w:r>
              <w:rPr>
                <w:rFonts w:ascii="Times New Roman" w:cs="Times New Roman" w:eastAsia="Times New Roman" w:hAnsi="Times New Roman"/>
                <w:b w:val="false"/>
                <w:bCs w:val="false"/>
                <w:color w:val="404040"/>
                <w:sz w:val="19"/>
                <w:szCs w:val="19"/>
              </w:rPr>
              <w:t xml:space="preserve">General awareness communication</w:t>
            </w:r>
          </w:p>
        </w:tc>
      </w:tr>
      <w:tr>
        <w:tc>
          <w:tcPr>
            <w:tcW w:type="pct" w:w="40%"/>
            <w:tcBorders>
              <w:top w:val="single" w:color="BFBFBF" w:sz="4"/>
              <w:left w:val="single" w:color="BFBFBF" w:sz="4"/>
              <w:bottom w:val="single" w:color="BFBFBF" w:sz="4"/>
              <w:right w:val="single" w:color="BFBFBF" w:sz="4"/>
            </w:tcBorders>
            <w:shd w:fill="F7F9FC" w:val="clear"/>
            <w:tcMar>
              <w:top w:type="dxa" w:w="80"/>
              <w:left w:type="dxa" w:w="110"/>
              <w:bottom w:type="dxa" w:w="80"/>
              <w:right w:type="dxa" w:w="110"/>
            </w:tcMar>
            <w:vAlign w:val="center"/>
          </w:tcPr>
          <w:p>
            <w:r>
              <w:rPr>
                <w:rFonts w:ascii="Times New Roman" w:cs="Times New Roman" w:eastAsia="Times New Roman" w:hAnsi="Times New Roman"/>
                <w:b w:val="false"/>
                <w:bCs w:val="false"/>
                <w:color w:val="404040"/>
                <w:sz w:val="19"/>
                <w:szCs w:val="19"/>
              </w:rPr>
              <w:t xml:space="preserve">Targeted, fully quarantined by EOP (never saw it)</w:t>
            </w:r>
          </w:p>
        </w:tc>
        <w:tc>
          <w:tcPr>
            <w:tcW w:type="pct" w:w="20%"/>
            <w:tcBorders>
              <w:top w:val="single" w:color="BFBFBF" w:sz="4"/>
              <w:left w:val="single" w:color="BFBFBF" w:sz="4"/>
              <w:bottom w:val="single" w:color="BFBFBF" w:sz="4"/>
              <w:right w:val="single" w:color="BFBFBF" w:sz="4"/>
            </w:tcBorders>
            <w:shd w:fill="F7F9FC" w:val="clear"/>
            <w:tcMar>
              <w:top w:type="dxa" w:w="80"/>
              <w:left w:type="dxa" w:w="110"/>
              <w:bottom w:type="dxa" w:w="80"/>
              <w:right w:type="dxa" w:w="110"/>
            </w:tcMar>
            <w:vAlign w:val="center"/>
          </w:tcPr>
          <w:p>
            <w:r>
              <w:rPr>
                <w:rFonts w:ascii="Times New Roman" w:cs="Times New Roman" w:eastAsia="Times New Roman" w:hAnsi="Times New Roman"/>
                <w:b w:val="false"/>
                <w:bCs w:val="false"/>
                <w:color w:val="404040"/>
                <w:sz w:val="19"/>
                <w:szCs w:val="19"/>
              </w:rPr>
              <w:t xml:space="preserve">4</w:t>
            </w:r>
          </w:p>
        </w:tc>
        <w:tc>
          <w:tcPr>
            <w:tcW w:type="pct" w:w="40%"/>
            <w:tcBorders>
              <w:top w:val="single" w:color="BFBFBF" w:sz="4"/>
              <w:left w:val="single" w:color="BFBFBF" w:sz="4"/>
              <w:bottom w:val="single" w:color="BFBFBF" w:sz="4"/>
              <w:right w:val="single" w:color="BFBFBF" w:sz="4"/>
            </w:tcBorders>
            <w:shd w:fill="F7F9FC" w:val="clear"/>
            <w:tcMar>
              <w:top w:type="dxa" w:w="80"/>
              <w:left w:type="dxa" w:w="110"/>
              <w:bottom w:type="dxa" w:w="80"/>
              <w:right w:type="dxa" w:w="110"/>
            </w:tcMar>
            <w:vAlign w:val="center"/>
          </w:tcPr>
          <w:p>
            <w:r>
              <w:rPr>
                <w:rFonts w:ascii="Times New Roman" w:cs="Times New Roman" w:eastAsia="Times New Roman" w:hAnsi="Times New Roman"/>
                <w:b w:val="false"/>
                <w:bCs w:val="false"/>
                <w:color w:val="404040"/>
                <w:sz w:val="19"/>
                <w:szCs w:val="19"/>
              </w:rPr>
              <w:t xml:space="preserve">Awareness note only, no action needed</w:t>
            </w:r>
          </w:p>
        </w:tc>
      </w:tr>
    </w:tbl>
    <w:p>
      <w:pPr>
        <w:pStyle w:val="Heading1"/>
        <w:pBdr>
          <w:bottom w:val="single" w:color="1F3864" w:sz="6" w:space="4"/>
        </w:pBdr>
        <w:spacing w:after="200" w:before="480"/>
      </w:pPr>
      <w:r>
        <w:rPr>
          <w:rFonts w:ascii="Times New Roman" w:cs="Times New Roman" w:eastAsia="Times New Roman" w:hAnsi="Times New Roman"/>
          <w:b/>
          <w:bCs/>
          <w:color w:val="1F3864"/>
          <w:sz w:val="30"/>
          <w:szCs w:val="30"/>
        </w:rPr>
        <w:t xml:space="preserve">6. Indicators of Compromise</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920"/>
        <w:gridCol w:w="3264"/>
        <w:gridCol w:w="4416"/>
      </w:tblGrid>
      <w:tr>
        <w:trPr>
          <w:tblHeader/>
        </w:trPr>
        <w:tc>
          <w:tcPr>
            <w:tcW w:type="pct" w:w="20%"/>
            <w:tcBorders>
              <w:top w:val="single" w:color="1F3864" w:sz="4"/>
              <w:left w:val="single" w:color="1F3864" w:sz="4"/>
              <w:bottom w:val="single" w:color="1F3864" w:sz="4"/>
              <w:right w:val="single" w:color="1F3864" w:sz="4"/>
            </w:tcBorders>
            <w:shd w:fill="1F3864" w:val="clear"/>
            <w:tcMar>
              <w:top w:type="dxa" w:w="90"/>
              <w:left w:type="dxa" w:w="110"/>
              <w:bottom w:type="dxa" w:w="90"/>
              <w:right w:type="dxa" w:w="110"/>
            </w:tcMar>
            <w:vAlign w:val="center"/>
          </w:tcPr>
          <w:p>
            <w:r>
              <w:rPr>
                <w:rFonts w:ascii="Times New Roman" w:cs="Times New Roman" w:eastAsia="Times New Roman" w:hAnsi="Times New Roman"/>
                <w:b/>
                <w:bCs/>
                <w:color w:val="FFFFFF"/>
                <w:sz w:val="19"/>
                <w:szCs w:val="19"/>
              </w:rPr>
              <w:t xml:space="preserve">Type</w:t>
            </w:r>
          </w:p>
        </w:tc>
        <w:tc>
          <w:tcPr>
            <w:tcW w:type="pct" w:w="34%"/>
            <w:tcBorders>
              <w:top w:val="single" w:color="1F3864" w:sz="4"/>
              <w:left w:val="single" w:color="1F3864" w:sz="4"/>
              <w:bottom w:val="single" w:color="1F3864" w:sz="4"/>
              <w:right w:val="single" w:color="1F3864" w:sz="4"/>
            </w:tcBorders>
            <w:shd w:fill="1F3864" w:val="clear"/>
            <w:tcMar>
              <w:top w:type="dxa" w:w="90"/>
              <w:left w:type="dxa" w:w="110"/>
              <w:bottom w:type="dxa" w:w="90"/>
              <w:right w:type="dxa" w:w="110"/>
            </w:tcMar>
            <w:vAlign w:val="center"/>
          </w:tcPr>
          <w:p>
            <w:r>
              <w:rPr>
                <w:rFonts w:ascii="Times New Roman" w:cs="Times New Roman" w:eastAsia="Times New Roman" w:hAnsi="Times New Roman"/>
                <w:b/>
                <w:bCs/>
                <w:color w:val="FFFFFF"/>
                <w:sz w:val="19"/>
                <w:szCs w:val="19"/>
              </w:rPr>
              <w:t xml:space="preserve">Indicator</w:t>
            </w:r>
          </w:p>
        </w:tc>
        <w:tc>
          <w:tcPr>
            <w:tcW w:type="pct" w:w="46%"/>
            <w:tcBorders>
              <w:top w:val="single" w:color="1F3864" w:sz="4"/>
              <w:left w:val="single" w:color="1F3864" w:sz="4"/>
              <w:bottom w:val="single" w:color="1F3864" w:sz="4"/>
              <w:right w:val="single" w:color="1F3864" w:sz="4"/>
            </w:tcBorders>
            <w:shd w:fill="1F3864" w:val="clear"/>
            <w:tcMar>
              <w:top w:type="dxa" w:w="90"/>
              <w:left w:type="dxa" w:w="110"/>
              <w:bottom w:type="dxa" w:w="90"/>
              <w:right w:type="dxa" w:w="110"/>
            </w:tcMar>
            <w:vAlign w:val="center"/>
          </w:tcPr>
          <w:p>
            <w:r>
              <w:rPr>
                <w:rFonts w:ascii="Times New Roman" w:cs="Times New Roman" w:eastAsia="Times New Roman" w:hAnsi="Times New Roman"/>
                <w:b/>
                <w:bCs/>
                <w:color w:val="FFFFFF"/>
                <w:sz w:val="19"/>
                <w:szCs w:val="19"/>
              </w:rPr>
              <w:t xml:space="preserve">Context</w:t>
            </w:r>
          </w:p>
        </w:tc>
      </w:tr>
      <w:tr>
        <w:tc>
          <w:tcPr>
            <w:tcW w:type="pct" w:w="20%"/>
            <w:tcBorders>
              <w:top w:val="single" w:color="BFBFBF" w:sz="4"/>
              <w:left w:val="single" w:color="BFBFBF" w:sz="4"/>
              <w:bottom w:val="single" w:color="BFBFBF" w:sz="4"/>
              <w:right w:val="single" w:color="BFBFBF" w:sz="4"/>
            </w:tcBorders>
            <w:shd w:fill="FFFFFF" w:val="clear"/>
            <w:tcMar>
              <w:top w:type="dxa" w:w="80"/>
              <w:left w:type="dxa" w:w="110"/>
              <w:bottom w:type="dxa" w:w="80"/>
              <w:right w:type="dxa" w:w="110"/>
            </w:tcMar>
            <w:vAlign w:val="center"/>
          </w:tcPr>
          <w:p>
            <w:r>
              <w:rPr>
                <w:rFonts w:ascii="Times New Roman" w:cs="Times New Roman" w:eastAsia="Times New Roman" w:hAnsi="Times New Roman"/>
                <w:b w:val="false"/>
                <w:bCs w:val="false"/>
                <w:color w:val="404040"/>
                <w:sz w:val="19"/>
                <w:szCs w:val="19"/>
              </w:rPr>
              <w:t xml:space="preserve">Sending IP</w:t>
            </w:r>
          </w:p>
        </w:tc>
        <w:tc>
          <w:tcPr>
            <w:tcW w:type="pct" w:w="34%"/>
            <w:tcBorders>
              <w:top w:val="single" w:color="BFBFBF" w:sz="4"/>
              <w:left w:val="single" w:color="BFBFBF" w:sz="4"/>
              <w:bottom w:val="single" w:color="BFBFBF" w:sz="4"/>
              <w:right w:val="single" w:color="BFBFBF" w:sz="4"/>
            </w:tcBorders>
            <w:shd w:fill="FFFFFF" w:val="clear"/>
            <w:tcMar>
              <w:top w:type="dxa" w:w="80"/>
              <w:left w:type="dxa" w:w="110"/>
              <w:bottom w:type="dxa" w:w="80"/>
              <w:right w:type="dxa" w:w="110"/>
            </w:tcMar>
            <w:vAlign w:val="center"/>
          </w:tcPr>
          <w:p>
            <w:r>
              <w:rPr>
                <w:rFonts w:ascii="Times New Roman" w:cs="Times New Roman" w:eastAsia="Times New Roman" w:hAnsi="Times New Roman"/>
                <w:b w:val="false"/>
                <w:bCs w:val="false"/>
                <w:color w:val="404040"/>
                <w:sz w:val="19"/>
                <w:szCs w:val="19"/>
              </w:rPr>
              <w:t xml:space="preserve">198.18.44.10</w:t>
            </w:r>
          </w:p>
        </w:tc>
        <w:tc>
          <w:tcPr>
            <w:tcW w:type="pct" w:w="46%"/>
            <w:tcBorders>
              <w:top w:val="single" w:color="BFBFBF" w:sz="4"/>
              <w:left w:val="single" w:color="BFBFBF" w:sz="4"/>
              <w:bottom w:val="single" w:color="BFBFBF" w:sz="4"/>
              <w:right w:val="single" w:color="BFBFBF" w:sz="4"/>
            </w:tcBorders>
            <w:shd w:fill="FFFFFF" w:val="clear"/>
            <w:tcMar>
              <w:top w:type="dxa" w:w="80"/>
              <w:left w:type="dxa" w:w="110"/>
              <w:bottom w:type="dxa" w:w="80"/>
              <w:right w:type="dxa" w:w="110"/>
            </w:tcMar>
            <w:vAlign w:val="center"/>
          </w:tcPr>
          <w:p>
            <w:r>
              <w:rPr>
                <w:rFonts w:ascii="Times New Roman" w:cs="Times New Roman" w:eastAsia="Times New Roman" w:hAnsi="Times New Roman"/>
                <w:b w:val="false"/>
                <w:bCs w:val="false"/>
                <w:color w:val="404040"/>
                <w:sz w:val="19"/>
                <w:szCs w:val="19"/>
              </w:rPr>
              <w:t xml:space="preserve">Variant A relay (wave 1); spoofs payroll@cloudora.io, fails all authentication</w:t>
            </w:r>
          </w:p>
        </w:tc>
      </w:tr>
      <w:tr>
        <w:tc>
          <w:tcPr>
            <w:tcW w:type="pct" w:w="20%"/>
            <w:tcBorders>
              <w:top w:val="single" w:color="BFBFBF" w:sz="4"/>
              <w:left w:val="single" w:color="BFBFBF" w:sz="4"/>
              <w:bottom w:val="single" w:color="BFBFBF" w:sz="4"/>
              <w:right w:val="single" w:color="BFBFBF" w:sz="4"/>
            </w:tcBorders>
            <w:shd w:fill="F7F9FC" w:val="clear"/>
            <w:tcMar>
              <w:top w:type="dxa" w:w="80"/>
              <w:left w:type="dxa" w:w="110"/>
              <w:bottom w:type="dxa" w:w="80"/>
              <w:right w:type="dxa" w:w="110"/>
            </w:tcMar>
            <w:vAlign w:val="center"/>
          </w:tcPr>
          <w:p>
            <w:r>
              <w:rPr>
                <w:rFonts w:ascii="Times New Roman" w:cs="Times New Roman" w:eastAsia="Times New Roman" w:hAnsi="Times New Roman"/>
                <w:b w:val="false"/>
                <w:bCs w:val="false"/>
                <w:color w:val="404040"/>
                <w:sz w:val="19"/>
                <w:szCs w:val="19"/>
              </w:rPr>
              <w:t xml:space="preserve">Sending IP</w:t>
            </w:r>
          </w:p>
        </w:tc>
        <w:tc>
          <w:tcPr>
            <w:tcW w:type="pct" w:w="34%"/>
            <w:tcBorders>
              <w:top w:val="single" w:color="BFBFBF" w:sz="4"/>
              <w:left w:val="single" w:color="BFBFBF" w:sz="4"/>
              <w:bottom w:val="single" w:color="BFBFBF" w:sz="4"/>
              <w:right w:val="single" w:color="BFBFBF" w:sz="4"/>
            </w:tcBorders>
            <w:shd w:fill="F7F9FC" w:val="clear"/>
            <w:tcMar>
              <w:top w:type="dxa" w:w="80"/>
              <w:left w:type="dxa" w:w="110"/>
              <w:bottom w:type="dxa" w:w="80"/>
              <w:right w:type="dxa" w:w="110"/>
            </w:tcMar>
            <w:vAlign w:val="center"/>
          </w:tcPr>
          <w:p>
            <w:r>
              <w:rPr>
                <w:rFonts w:ascii="Times New Roman" w:cs="Times New Roman" w:eastAsia="Times New Roman" w:hAnsi="Times New Roman"/>
                <w:b w:val="false"/>
                <w:bCs w:val="false"/>
                <w:color w:val="404040"/>
                <w:sz w:val="19"/>
                <w:szCs w:val="19"/>
              </w:rPr>
              <w:t xml:space="preserve">198.18.44.23</w:t>
            </w:r>
          </w:p>
        </w:tc>
        <w:tc>
          <w:tcPr>
            <w:tcW w:type="pct" w:w="46%"/>
            <w:tcBorders>
              <w:top w:val="single" w:color="BFBFBF" w:sz="4"/>
              <w:left w:val="single" w:color="BFBFBF" w:sz="4"/>
              <w:bottom w:val="single" w:color="BFBFBF" w:sz="4"/>
              <w:right w:val="single" w:color="BFBFBF" w:sz="4"/>
            </w:tcBorders>
            <w:shd w:fill="F7F9FC" w:val="clear"/>
            <w:tcMar>
              <w:top w:type="dxa" w:w="80"/>
              <w:left w:type="dxa" w:w="110"/>
              <w:bottom w:type="dxa" w:w="80"/>
              <w:right w:type="dxa" w:w="110"/>
            </w:tcMar>
            <w:vAlign w:val="center"/>
          </w:tcPr>
          <w:p>
            <w:r>
              <w:rPr>
                <w:rFonts w:ascii="Times New Roman" w:cs="Times New Roman" w:eastAsia="Times New Roman" w:hAnsi="Times New Roman"/>
                <w:b w:val="false"/>
                <w:bCs w:val="false"/>
                <w:color w:val="404040"/>
                <w:sz w:val="19"/>
                <w:szCs w:val="19"/>
              </w:rPr>
              <w:t xml:space="preserve">Variant A relay (wave 2); same spoofing pattern</w:t>
            </w:r>
          </w:p>
        </w:tc>
      </w:tr>
      <w:tr>
        <w:tc>
          <w:tcPr>
            <w:tcW w:type="pct" w:w="20%"/>
            <w:tcBorders>
              <w:top w:val="single" w:color="BFBFBF" w:sz="4"/>
              <w:left w:val="single" w:color="BFBFBF" w:sz="4"/>
              <w:bottom w:val="single" w:color="BFBFBF" w:sz="4"/>
              <w:right w:val="single" w:color="BFBFBF" w:sz="4"/>
            </w:tcBorders>
            <w:shd w:fill="FFFFFF" w:val="clear"/>
            <w:tcMar>
              <w:top w:type="dxa" w:w="80"/>
              <w:left w:type="dxa" w:w="110"/>
              <w:bottom w:type="dxa" w:w="80"/>
              <w:right w:type="dxa" w:w="110"/>
            </w:tcMar>
            <w:vAlign w:val="center"/>
          </w:tcPr>
          <w:p>
            <w:r>
              <w:rPr>
                <w:rFonts w:ascii="Times New Roman" w:cs="Times New Roman" w:eastAsia="Times New Roman" w:hAnsi="Times New Roman"/>
                <w:b w:val="false"/>
                <w:bCs w:val="false"/>
                <w:color w:val="404040"/>
                <w:sz w:val="19"/>
                <w:szCs w:val="19"/>
              </w:rPr>
              <w:t xml:space="preserve">Sending IP</w:t>
            </w:r>
          </w:p>
        </w:tc>
        <w:tc>
          <w:tcPr>
            <w:tcW w:type="pct" w:w="34%"/>
            <w:tcBorders>
              <w:top w:val="single" w:color="BFBFBF" w:sz="4"/>
              <w:left w:val="single" w:color="BFBFBF" w:sz="4"/>
              <w:bottom w:val="single" w:color="BFBFBF" w:sz="4"/>
              <w:right w:val="single" w:color="BFBFBF" w:sz="4"/>
            </w:tcBorders>
            <w:shd w:fill="FFFFFF" w:val="clear"/>
            <w:tcMar>
              <w:top w:type="dxa" w:w="80"/>
              <w:left w:type="dxa" w:w="110"/>
              <w:bottom w:type="dxa" w:w="80"/>
              <w:right w:type="dxa" w:w="110"/>
            </w:tcMar>
            <w:vAlign w:val="center"/>
          </w:tcPr>
          <w:p>
            <w:r>
              <w:rPr>
                <w:rFonts w:ascii="Times New Roman" w:cs="Times New Roman" w:eastAsia="Times New Roman" w:hAnsi="Times New Roman"/>
                <w:b w:val="false"/>
                <w:bCs w:val="false"/>
                <w:color w:val="404040"/>
                <w:sz w:val="19"/>
                <w:szCs w:val="19"/>
              </w:rPr>
              <w:t xml:space="preserve">198.18.51.7</w:t>
            </w:r>
          </w:p>
        </w:tc>
        <w:tc>
          <w:tcPr>
            <w:tcW w:type="pct" w:w="46%"/>
            <w:tcBorders>
              <w:top w:val="single" w:color="BFBFBF" w:sz="4"/>
              <w:left w:val="single" w:color="BFBFBF" w:sz="4"/>
              <w:bottom w:val="single" w:color="BFBFBF" w:sz="4"/>
              <w:right w:val="single" w:color="BFBFBF" w:sz="4"/>
            </w:tcBorders>
            <w:shd w:fill="FFFFFF" w:val="clear"/>
            <w:tcMar>
              <w:top w:type="dxa" w:w="80"/>
              <w:left w:type="dxa" w:w="110"/>
              <w:bottom w:type="dxa" w:w="80"/>
              <w:right w:type="dxa" w:w="110"/>
            </w:tcMar>
            <w:vAlign w:val="center"/>
          </w:tcPr>
          <w:p>
            <w:r>
              <w:rPr>
                <w:rFonts w:ascii="Times New Roman" w:cs="Times New Roman" w:eastAsia="Times New Roman" w:hAnsi="Times New Roman"/>
                <w:b w:val="false"/>
                <w:bCs w:val="false"/>
                <w:color w:val="404040"/>
                <w:sz w:val="19"/>
                <w:szCs w:val="19"/>
              </w:rPr>
              <w:t xml:space="preserve">Variant B relay; sends from the lookalike domain and passes authentication for it</w:t>
            </w:r>
          </w:p>
        </w:tc>
      </w:tr>
      <w:tr>
        <w:tc>
          <w:tcPr>
            <w:tcW w:type="pct" w:w="20%"/>
            <w:tcBorders>
              <w:top w:val="single" w:color="BFBFBF" w:sz="4"/>
              <w:left w:val="single" w:color="BFBFBF" w:sz="4"/>
              <w:bottom w:val="single" w:color="BFBFBF" w:sz="4"/>
              <w:right w:val="single" w:color="BFBFBF" w:sz="4"/>
            </w:tcBorders>
            <w:shd w:fill="F7F9FC" w:val="clear"/>
            <w:tcMar>
              <w:top w:type="dxa" w:w="80"/>
              <w:left w:type="dxa" w:w="110"/>
              <w:bottom w:type="dxa" w:w="80"/>
              <w:right w:type="dxa" w:w="110"/>
            </w:tcMar>
            <w:vAlign w:val="center"/>
          </w:tcPr>
          <w:p>
            <w:r>
              <w:rPr>
                <w:rFonts w:ascii="Times New Roman" w:cs="Times New Roman" w:eastAsia="Times New Roman" w:hAnsi="Times New Roman"/>
                <w:b w:val="false"/>
                <w:bCs w:val="false"/>
                <w:color w:val="404040"/>
                <w:sz w:val="19"/>
                <w:szCs w:val="19"/>
              </w:rPr>
              <w:t xml:space="preserve">Login / harvest IP</w:t>
            </w:r>
          </w:p>
        </w:tc>
        <w:tc>
          <w:tcPr>
            <w:tcW w:type="pct" w:w="34%"/>
            <w:tcBorders>
              <w:top w:val="single" w:color="BFBFBF" w:sz="4"/>
              <w:left w:val="single" w:color="BFBFBF" w:sz="4"/>
              <w:bottom w:val="single" w:color="BFBFBF" w:sz="4"/>
              <w:right w:val="single" w:color="BFBFBF" w:sz="4"/>
            </w:tcBorders>
            <w:shd w:fill="F7F9FC" w:val="clear"/>
            <w:tcMar>
              <w:top w:type="dxa" w:w="80"/>
              <w:left w:type="dxa" w:w="110"/>
              <w:bottom w:type="dxa" w:w="80"/>
              <w:right w:type="dxa" w:w="110"/>
            </w:tcMar>
            <w:vAlign w:val="center"/>
          </w:tcPr>
          <w:p>
            <w:r>
              <w:rPr>
                <w:rFonts w:ascii="Times New Roman" w:cs="Times New Roman" w:eastAsia="Times New Roman" w:hAnsi="Times New Roman"/>
                <w:b w:val="false"/>
                <w:bCs w:val="false"/>
                <w:color w:val="404040"/>
                <w:sz w:val="19"/>
                <w:szCs w:val="19"/>
              </w:rPr>
              <w:t xml:space="preserve">198.18.7.200</w:t>
            </w:r>
          </w:p>
        </w:tc>
        <w:tc>
          <w:tcPr>
            <w:tcW w:type="pct" w:w="46%"/>
            <w:tcBorders>
              <w:top w:val="single" w:color="BFBFBF" w:sz="4"/>
              <w:left w:val="single" w:color="BFBFBF" w:sz="4"/>
              <w:bottom w:val="single" w:color="BFBFBF" w:sz="4"/>
              <w:right w:val="single" w:color="BFBFBF" w:sz="4"/>
            </w:tcBorders>
            <w:shd w:fill="F7F9FC" w:val="clear"/>
            <w:tcMar>
              <w:top w:type="dxa" w:w="80"/>
              <w:left w:type="dxa" w:w="110"/>
              <w:bottom w:type="dxa" w:w="80"/>
              <w:right w:type="dxa" w:w="110"/>
            </w:tcMar>
            <w:vAlign w:val="center"/>
          </w:tcPr>
          <w:p>
            <w:r>
              <w:rPr>
                <w:rFonts w:ascii="Times New Roman" w:cs="Times New Roman" w:eastAsia="Times New Roman" w:hAnsi="Times New Roman"/>
                <w:b w:val="false"/>
                <w:bCs w:val="false"/>
                <w:color w:val="404040"/>
                <w:sz w:val="19"/>
                <w:szCs w:val="19"/>
              </w:rPr>
              <w:t xml:space="preserve">Amsterdam — used to sign in to both compromised accounts with harvested credentials</w:t>
            </w:r>
          </w:p>
        </w:tc>
      </w:tr>
      <w:tr>
        <w:tc>
          <w:tcPr>
            <w:tcW w:type="pct" w:w="20%"/>
            <w:tcBorders>
              <w:top w:val="single" w:color="BFBFBF" w:sz="4"/>
              <w:left w:val="single" w:color="BFBFBF" w:sz="4"/>
              <w:bottom w:val="single" w:color="BFBFBF" w:sz="4"/>
              <w:right w:val="single" w:color="BFBFBF" w:sz="4"/>
            </w:tcBorders>
            <w:shd w:fill="FFFFFF" w:val="clear"/>
            <w:tcMar>
              <w:top w:type="dxa" w:w="80"/>
              <w:left w:type="dxa" w:w="110"/>
              <w:bottom w:type="dxa" w:w="80"/>
              <w:right w:type="dxa" w:w="110"/>
            </w:tcMar>
            <w:vAlign w:val="center"/>
          </w:tcPr>
          <w:p>
            <w:r>
              <w:rPr>
                <w:rFonts w:ascii="Times New Roman" w:cs="Times New Roman" w:eastAsia="Times New Roman" w:hAnsi="Times New Roman"/>
                <w:b w:val="false"/>
                <w:bCs w:val="false"/>
                <w:color w:val="404040"/>
                <w:sz w:val="19"/>
                <w:szCs w:val="19"/>
              </w:rPr>
              <w:t xml:space="preserve">Lookalike domain</w:t>
            </w:r>
          </w:p>
        </w:tc>
        <w:tc>
          <w:tcPr>
            <w:tcW w:type="pct" w:w="34%"/>
            <w:tcBorders>
              <w:top w:val="single" w:color="BFBFBF" w:sz="4"/>
              <w:left w:val="single" w:color="BFBFBF" w:sz="4"/>
              <w:bottom w:val="single" w:color="BFBFBF" w:sz="4"/>
              <w:right w:val="single" w:color="BFBFBF" w:sz="4"/>
            </w:tcBorders>
            <w:shd w:fill="FFFFFF" w:val="clear"/>
            <w:tcMar>
              <w:top w:type="dxa" w:w="80"/>
              <w:left w:type="dxa" w:w="110"/>
              <w:bottom w:type="dxa" w:w="80"/>
              <w:right w:type="dxa" w:w="110"/>
            </w:tcMar>
            <w:vAlign w:val="center"/>
          </w:tcPr>
          <w:p>
            <w:r>
              <w:rPr>
                <w:rFonts w:ascii="Times New Roman" w:cs="Times New Roman" w:eastAsia="Times New Roman" w:hAnsi="Times New Roman"/>
                <w:b w:val="false"/>
                <w:bCs w:val="false"/>
                <w:color w:val="404040"/>
                <w:sz w:val="19"/>
                <w:szCs w:val="19"/>
              </w:rPr>
              <w:t xml:space="preserve">cloudora-hr-portal.example</w:t>
            </w:r>
          </w:p>
        </w:tc>
        <w:tc>
          <w:tcPr>
            <w:tcW w:type="pct" w:w="46%"/>
            <w:tcBorders>
              <w:top w:val="single" w:color="BFBFBF" w:sz="4"/>
              <w:left w:val="single" w:color="BFBFBF" w:sz="4"/>
              <w:bottom w:val="single" w:color="BFBFBF" w:sz="4"/>
              <w:right w:val="single" w:color="BFBFBF" w:sz="4"/>
            </w:tcBorders>
            <w:shd w:fill="FFFFFF" w:val="clear"/>
            <w:tcMar>
              <w:top w:type="dxa" w:w="80"/>
              <w:left w:type="dxa" w:w="110"/>
              <w:bottom w:type="dxa" w:w="80"/>
              <w:right w:type="dxa" w:w="110"/>
            </w:tcMar>
            <w:vAlign w:val="center"/>
          </w:tcPr>
          <w:p>
            <w:r>
              <w:rPr>
                <w:rFonts w:ascii="Times New Roman" w:cs="Times New Roman" w:eastAsia="Times New Roman" w:hAnsi="Times New Roman"/>
                <w:b w:val="false"/>
                <w:bCs w:val="false"/>
                <w:color w:val="404040"/>
                <w:sz w:val="19"/>
                <w:szCs w:val="19"/>
              </w:rPr>
              <w:t xml:space="preserve">Attacker infrastructure; hosts the harvesting page and Variant B's Reply-To / From</w:t>
            </w:r>
          </w:p>
        </w:tc>
      </w:tr>
      <w:tr>
        <w:tc>
          <w:tcPr>
            <w:tcW w:type="pct" w:w="20%"/>
            <w:tcBorders>
              <w:top w:val="single" w:color="BFBFBF" w:sz="4"/>
              <w:left w:val="single" w:color="BFBFBF" w:sz="4"/>
              <w:bottom w:val="single" w:color="BFBFBF" w:sz="4"/>
              <w:right w:val="single" w:color="BFBFBF" w:sz="4"/>
            </w:tcBorders>
            <w:shd w:fill="F7F9FC" w:val="clear"/>
            <w:tcMar>
              <w:top w:type="dxa" w:w="80"/>
              <w:left w:type="dxa" w:w="110"/>
              <w:bottom w:type="dxa" w:w="80"/>
              <w:right w:type="dxa" w:w="110"/>
            </w:tcMar>
            <w:vAlign w:val="center"/>
          </w:tcPr>
          <w:p>
            <w:r>
              <w:rPr>
                <w:rFonts w:ascii="Times New Roman" w:cs="Times New Roman" w:eastAsia="Times New Roman" w:hAnsi="Times New Roman"/>
                <w:b w:val="false"/>
                <w:bCs w:val="false"/>
                <w:color w:val="404040"/>
                <w:sz w:val="19"/>
                <w:szCs w:val="19"/>
              </w:rPr>
              <w:t xml:space="preserve">Malicious URL</w:t>
            </w:r>
          </w:p>
        </w:tc>
        <w:tc>
          <w:tcPr>
            <w:tcW w:type="pct" w:w="34%"/>
            <w:tcBorders>
              <w:top w:val="single" w:color="BFBFBF" w:sz="4"/>
              <w:left w:val="single" w:color="BFBFBF" w:sz="4"/>
              <w:bottom w:val="single" w:color="BFBFBF" w:sz="4"/>
              <w:right w:val="single" w:color="BFBFBF" w:sz="4"/>
            </w:tcBorders>
            <w:shd w:fill="F7F9FC" w:val="clear"/>
            <w:tcMar>
              <w:top w:type="dxa" w:w="80"/>
              <w:left w:type="dxa" w:w="110"/>
              <w:bottom w:type="dxa" w:w="80"/>
              <w:right w:type="dxa" w:w="110"/>
            </w:tcMar>
            <w:vAlign w:val="center"/>
          </w:tcPr>
          <w:p>
            <w:r>
              <w:rPr>
                <w:rFonts w:ascii="Times New Roman" w:cs="Times New Roman" w:eastAsia="Times New Roman" w:hAnsi="Times New Roman"/>
                <w:b w:val="false"/>
                <w:bCs w:val="false"/>
                <w:color w:val="404040"/>
                <w:sz w:val="19"/>
                <w:szCs w:val="19"/>
              </w:rPr>
              <w:t xml:space="preserve">hxxps://cloudora-hr-portal[.]example/payroll/login</w:t>
            </w:r>
          </w:p>
        </w:tc>
        <w:tc>
          <w:tcPr>
            <w:tcW w:type="pct" w:w="46%"/>
            <w:tcBorders>
              <w:top w:val="single" w:color="BFBFBF" w:sz="4"/>
              <w:left w:val="single" w:color="BFBFBF" w:sz="4"/>
              <w:bottom w:val="single" w:color="BFBFBF" w:sz="4"/>
              <w:right w:val="single" w:color="BFBFBF" w:sz="4"/>
            </w:tcBorders>
            <w:shd w:fill="F7F9FC" w:val="clear"/>
            <w:tcMar>
              <w:top w:type="dxa" w:w="80"/>
              <w:left w:type="dxa" w:w="110"/>
              <w:bottom w:type="dxa" w:w="80"/>
              <w:right w:type="dxa" w:w="110"/>
            </w:tcMar>
            <w:vAlign w:val="center"/>
          </w:tcPr>
          <w:p>
            <w:r>
              <w:rPr>
                <w:rFonts w:ascii="Times New Roman" w:cs="Times New Roman" w:eastAsia="Times New Roman" w:hAnsi="Times New Roman"/>
                <w:b w:val="false"/>
                <w:bCs w:val="false"/>
                <w:color w:val="404040"/>
                <w:sz w:val="19"/>
                <w:szCs w:val="19"/>
              </w:rPr>
              <w:t xml:space="preserve">Credential-harvesting page (Variant A)</w:t>
            </w:r>
          </w:p>
        </w:tc>
      </w:tr>
      <w:tr>
        <w:tc>
          <w:tcPr>
            <w:tcW w:type="pct" w:w="20%"/>
            <w:tcBorders>
              <w:top w:val="single" w:color="BFBFBF" w:sz="4"/>
              <w:left w:val="single" w:color="BFBFBF" w:sz="4"/>
              <w:bottom w:val="single" w:color="BFBFBF" w:sz="4"/>
              <w:right w:val="single" w:color="BFBFBF" w:sz="4"/>
            </w:tcBorders>
            <w:shd w:fill="FFFFFF" w:val="clear"/>
            <w:tcMar>
              <w:top w:type="dxa" w:w="80"/>
              <w:left w:type="dxa" w:w="110"/>
              <w:bottom w:type="dxa" w:w="80"/>
              <w:right w:type="dxa" w:w="110"/>
            </w:tcMar>
            <w:vAlign w:val="center"/>
          </w:tcPr>
          <w:p>
            <w:r>
              <w:rPr>
                <w:rFonts w:ascii="Times New Roman" w:cs="Times New Roman" w:eastAsia="Times New Roman" w:hAnsi="Times New Roman"/>
                <w:b w:val="false"/>
                <w:bCs w:val="false"/>
                <w:color w:val="404040"/>
                <w:sz w:val="19"/>
                <w:szCs w:val="19"/>
              </w:rPr>
              <w:t xml:space="preserve">Malicious URL</w:t>
            </w:r>
          </w:p>
        </w:tc>
        <w:tc>
          <w:tcPr>
            <w:tcW w:type="pct" w:w="34%"/>
            <w:tcBorders>
              <w:top w:val="single" w:color="BFBFBF" w:sz="4"/>
              <w:left w:val="single" w:color="BFBFBF" w:sz="4"/>
              <w:bottom w:val="single" w:color="BFBFBF" w:sz="4"/>
              <w:right w:val="single" w:color="BFBFBF" w:sz="4"/>
            </w:tcBorders>
            <w:shd w:fill="FFFFFF" w:val="clear"/>
            <w:tcMar>
              <w:top w:type="dxa" w:w="80"/>
              <w:left w:type="dxa" w:w="110"/>
              <w:bottom w:type="dxa" w:w="80"/>
              <w:right w:type="dxa" w:w="110"/>
            </w:tcMar>
            <w:vAlign w:val="center"/>
          </w:tcPr>
          <w:p>
            <w:r>
              <w:rPr>
                <w:rFonts w:ascii="Times New Roman" w:cs="Times New Roman" w:eastAsia="Times New Roman" w:hAnsi="Times New Roman"/>
                <w:b w:val="false"/>
                <w:bCs w:val="false"/>
                <w:color w:val="404040"/>
                <w:sz w:val="19"/>
                <w:szCs w:val="19"/>
              </w:rPr>
              <w:t xml:space="preserve">hxxps://login[.]cloudora-hr-portal[.]example/verify</w:t>
            </w:r>
          </w:p>
        </w:tc>
        <w:tc>
          <w:tcPr>
            <w:tcW w:type="pct" w:w="46%"/>
            <w:tcBorders>
              <w:top w:val="single" w:color="BFBFBF" w:sz="4"/>
              <w:left w:val="single" w:color="BFBFBF" w:sz="4"/>
              <w:bottom w:val="single" w:color="BFBFBF" w:sz="4"/>
              <w:right w:val="single" w:color="BFBFBF" w:sz="4"/>
            </w:tcBorders>
            <w:shd w:fill="FFFFFF" w:val="clear"/>
            <w:tcMar>
              <w:top w:type="dxa" w:w="80"/>
              <w:left w:type="dxa" w:w="110"/>
              <w:bottom w:type="dxa" w:w="80"/>
              <w:right w:type="dxa" w:w="110"/>
            </w:tcMar>
            <w:vAlign w:val="center"/>
          </w:tcPr>
          <w:p>
            <w:r>
              <w:rPr>
                <w:rFonts w:ascii="Times New Roman" w:cs="Times New Roman" w:eastAsia="Times New Roman" w:hAnsi="Times New Roman"/>
                <w:b w:val="false"/>
                <w:bCs w:val="false"/>
                <w:color w:val="404040"/>
                <w:sz w:val="19"/>
                <w:szCs w:val="19"/>
              </w:rPr>
              <w:t xml:space="preserve">Credential-harvesting page (Variant B)</w:t>
            </w:r>
          </w:p>
        </w:tc>
      </w:tr>
      <w:tr>
        <w:tc>
          <w:tcPr>
            <w:tcW w:type="pct" w:w="20%"/>
            <w:tcBorders>
              <w:top w:val="single" w:color="BFBFBF" w:sz="4"/>
              <w:left w:val="single" w:color="BFBFBF" w:sz="4"/>
              <w:bottom w:val="single" w:color="BFBFBF" w:sz="4"/>
              <w:right w:val="single" w:color="BFBFBF" w:sz="4"/>
            </w:tcBorders>
            <w:shd w:fill="F7F9FC" w:val="clear"/>
            <w:tcMar>
              <w:top w:type="dxa" w:w="80"/>
              <w:left w:type="dxa" w:w="110"/>
              <w:bottom w:type="dxa" w:w="80"/>
              <w:right w:type="dxa" w:w="110"/>
            </w:tcMar>
            <w:vAlign w:val="center"/>
          </w:tcPr>
          <w:p>
            <w:r>
              <w:rPr>
                <w:rFonts w:ascii="Times New Roman" w:cs="Times New Roman" w:eastAsia="Times New Roman" w:hAnsi="Times New Roman"/>
                <w:b w:val="false"/>
                <w:bCs w:val="false"/>
                <w:color w:val="404040"/>
                <w:sz w:val="19"/>
                <w:szCs w:val="19"/>
              </w:rPr>
              <w:t xml:space="preserve">Spoofed sender</w:t>
            </w:r>
          </w:p>
        </w:tc>
        <w:tc>
          <w:tcPr>
            <w:tcW w:type="pct" w:w="34%"/>
            <w:tcBorders>
              <w:top w:val="single" w:color="BFBFBF" w:sz="4"/>
              <w:left w:val="single" w:color="BFBFBF" w:sz="4"/>
              <w:bottom w:val="single" w:color="BFBFBF" w:sz="4"/>
              <w:right w:val="single" w:color="BFBFBF" w:sz="4"/>
            </w:tcBorders>
            <w:shd w:fill="F7F9FC" w:val="clear"/>
            <w:tcMar>
              <w:top w:type="dxa" w:w="80"/>
              <w:left w:type="dxa" w:w="110"/>
              <w:bottom w:type="dxa" w:w="80"/>
              <w:right w:type="dxa" w:w="110"/>
            </w:tcMar>
            <w:vAlign w:val="center"/>
          </w:tcPr>
          <w:p>
            <w:r>
              <w:rPr>
                <w:rFonts w:ascii="Times New Roman" w:cs="Times New Roman" w:eastAsia="Times New Roman" w:hAnsi="Times New Roman"/>
                <w:b w:val="false"/>
                <w:bCs w:val="false"/>
                <w:color w:val="404040"/>
                <w:sz w:val="19"/>
                <w:szCs w:val="19"/>
              </w:rPr>
              <w:t xml:space="preserve">payroll@cloudora.io</w:t>
            </w:r>
          </w:p>
        </w:tc>
        <w:tc>
          <w:tcPr>
            <w:tcW w:type="pct" w:w="46%"/>
            <w:tcBorders>
              <w:top w:val="single" w:color="BFBFBF" w:sz="4"/>
              <w:left w:val="single" w:color="BFBFBF" w:sz="4"/>
              <w:bottom w:val="single" w:color="BFBFBF" w:sz="4"/>
              <w:right w:val="single" w:color="BFBFBF" w:sz="4"/>
            </w:tcBorders>
            <w:shd w:fill="F7F9FC" w:val="clear"/>
            <w:tcMar>
              <w:top w:type="dxa" w:w="80"/>
              <w:left w:type="dxa" w:w="110"/>
              <w:bottom w:type="dxa" w:w="80"/>
              <w:right w:type="dxa" w:w="110"/>
            </w:tcMar>
            <w:vAlign w:val="center"/>
          </w:tcPr>
          <w:p>
            <w:r>
              <w:rPr>
                <w:rFonts w:ascii="Times New Roman" w:cs="Times New Roman" w:eastAsia="Times New Roman" w:hAnsi="Times New Roman"/>
                <w:b w:val="false"/>
                <w:bCs w:val="false"/>
                <w:color w:val="404040"/>
                <w:sz w:val="19"/>
                <w:szCs w:val="19"/>
              </w:rPr>
              <w:t xml:space="preserve">Forged address used in Variant A</w:t>
            </w:r>
          </w:p>
        </w:tc>
      </w:tr>
      <w:tr>
        <w:tc>
          <w:tcPr>
            <w:tcW w:type="pct" w:w="20%"/>
            <w:tcBorders>
              <w:top w:val="single" w:color="BFBFBF" w:sz="4"/>
              <w:left w:val="single" w:color="BFBFBF" w:sz="4"/>
              <w:bottom w:val="single" w:color="BFBFBF" w:sz="4"/>
              <w:right w:val="single" w:color="BFBFBF" w:sz="4"/>
            </w:tcBorders>
            <w:shd w:fill="FFFFFF" w:val="clear"/>
            <w:tcMar>
              <w:top w:type="dxa" w:w="80"/>
              <w:left w:type="dxa" w:w="110"/>
              <w:bottom w:type="dxa" w:w="80"/>
              <w:right w:type="dxa" w:w="110"/>
            </w:tcMar>
            <w:vAlign w:val="center"/>
          </w:tcPr>
          <w:p>
            <w:r>
              <w:rPr>
                <w:rFonts w:ascii="Times New Roman" w:cs="Times New Roman" w:eastAsia="Times New Roman" w:hAnsi="Times New Roman"/>
                <w:b w:val="false"/>
                <w:bCs w:val="false"/>
                <w:color w:val="404040"/>
                <w:sz w:val="19"/>
                <w:szCs w:val="19"/>
              </w:rPr>
              <w:t xml:space="preserve">Device / User-Agent</w:t>
            </w:r>
          </w:p>
        </w:tc>
        <w:tc>
          <w:tcPr>
            <w:tcW w:type="pct" w:w="34%"/>
            <w:tcBorders>
              <w:top w:val="single" w:color="BFBFBF" w:sz="4"/>
              <w:left w:val="single" w:color="BFBFBF" w:sz="4"/>
              <w:bottom w:val="single" w:color="BFBFBF" w:sz="4"/>
              <w:right w:val="single" w:color="BFBFBF" w:sz="4"/>
            </w:tcBorders>
            <w:shd w:fill="FFFFFF" w:val="clear"/>
            <w:tcMar>
              <w:top w:type="dxa" w:w="80"/>
              <w:left w:type="dxa" w:w="110"/>
              <w:bottom w:type="dxa" w:w="80"/>
              <w:right w:type="dxa" w:w="110"/>
            </w:tcMar>
            <w:vAlign w:val="center"/>
          </w:tcPr>
          <w:p>
            <w:r>
              <w:rPr>
                <w:rFonts w:ascii="Times New Roman" w:cs="Times New Roman" w:eastAsia="Times New Roman" w:hAnsi="Times New Roman"/>
                <w:b w:val="false"/>
                <w:bCs w:val="false"/>
                <w:color w:val="404040"/>
                <w:sz w:val="19"/>
                <w:szCs w:val="19"/>
              </w:rPr>
              <w:t xml:space="preserve">Windows 11, Chrome</w:t>
            </w:r>
          </w:p>
        </w:tc>
        <w:tc>
          <w:tcPr>
            <w:tcW w:type="pct" w:w="46%"/>
            <w:tcBorders>
              <w:top w:val="single" w:color="BFBFBF" w:sz="4"/>
              <w:left w:val="single" w:color="BFBFBF" w:sz="4"/>
              <w:bottom w:val="single" w:color="BFBFBF" w:sz="4"/>
              <w:right w:val="single" w:color="BFBFBF" w:sz="4"/>
            </w:tcBorders>
            <w:shd w:fill="FFFFFF" w:val="clear"/>
            <w:tcMar>
              <w:top w:type="dxa" w:w="80"/>
              <w:left w:type="dxa" w:w="110"/>
              <w:bottom w:type="dxa" w:w="80"/>
              <w:right w:type="dxa" w:w="110"/>
            </w:tcMar>
            <w:vAlign w:val="center"/>
          </w:tcPr>
          <w:p>
            <w:r>
              <w:rPr>
                <w:rFonts w:ascii="Times New Roman" w:cs="Times New Roman" w:eastAsia="Times New Roman" w:hAnsi="Times New Roman"/>
                <w:b w:val="false"/>
                <w:bCs w:val="false"/>
                <w:color w:val="404040"/>
                <w:sz w:val="19"/>
                <w:szCs w:val="19"/>
              </w:rPr>
              <w:t xml:space="preserve">Attacker session fingerprint, never seen on either victim account before</w:t>
            </w:r>
          </w:p>
        </w:tc>
      </w:tr>
      <w:tr>
        <w:tc>
          <w:tcPr>
            <w:tcW w:type="pct" w:w="20%"/>
            <w:tcBorders>
              <w:top w:val="single" w:color="BFBFBF" w:sz="4"/>
              <w:left w:val="single" w:color="BFBFBF" w:sz="4"/>
              <w:bottom w:val="single" w:color="BFBFBF" w:sz="4"/>
              <w:right w:val="single" w:color="BFBFBF" w:sz="4"/>
            </w:tcBorders>
            <w:shd w:fill="F7F9FC" w:val="clear"/>
            <w:tcMar>
              <w:top w:type="dxa" w:w="80"/>
              <w:left w:type="dxa" w:w="110"/>
              <w:bottom w:type="dxa" w:w="80"/>
              <w:right w:type="dxa" w:w="110"/>
            </w:tcMar>
            <w:vAlign w:val="center"/>
          </w:tcPr>
          <w:p>
            <w:r>
              <w:rPr>
                <w:rFonts w:ascii="Times New Roman" w:cs="Times New Roman" w:eastAsia="Times New Roman" w:hAnsi="Times New Roman"/>
                <w:b w:val="false"/>
                <w:bCs w:val="false"/>
                <w:color w:val="404040"/>
                <w:sz w:val="19"/>
                <w:szCs w:val="19"/>
              </w:rPr>
              <w:t xml:space="preserve">Compromised account</w:t>
            </w:r>
          </w:p>
        </w:tc>
        <w:tc>
          <w:tcPr>
            <w:tcW w:type="pct" w:w="34%"/>
            <w:tcBorders>
              <w:top w:val="single" w:color="BFBFBF" w:sz="4"/>
              <w:left w:val="single" w:color="BFBFBF" w:sz="4"/>
              <w:bottom w:val="single" w:color="BFBFBF" w:sz="4"/>
              <w:right w:val="single" w:color="BFBFBF" w:sz="4"/>
            </w:tcBorders>
            <w:shd w:fill="F7F9FC" w:val="clear"/>
            <w:tcMar>
              <w:top w:type="dxa" w:w="80"/>
              <w:left w:type="dxa" w:w="110"/>
              <w:bottom w:type="dxa" w:w="80"/>
              <w:right w:type="dxa" w:w="110"/>
            </w:tcMar>
            <w:vAlign w:val="center"/>
          </w:tcPr>
          <w:p>
            <w:r>
              <w:rPr>
                <w:rFonts w:ascii="Times New Roman" w:cs="Times New Roman" w:eastAsia="Times New Roman" w:hAnsi="Times New Roman"/>
                <w:b w:val="false"/>
                <w:bCs w:val="false"/>
                <w:color w:val="404040"/>
                <w:sz w:val="19"/>
                <w:szCs w:val="19"/>
              </w:rPr>
              <w:t xml:space="preserve">freya.lynn@cloudora.io</w:t>
            </w:r>
          </w:p>
        </w:tc>
        <w:tc>
          <w:tcPr>
            <w:tcW w:type="pct" w:w="46%"/>
            <w:tcBorders>
              <w:top w:val="single" w:color="BFBFBF" w:sz="4"/>
              <w:left w:val="single" w:color="BFBFBF" w:sz="4"/>
              <w:bottom w:val="single" w:color="BFBFBF" w:sz="4"/>
              <w:right w:val="single" w:color="BFBFBF" w:sz="4"/>
            </w:tcBorders>
            <w:shd w:fill="F7F9FC" w:val="clear"/>
            <w:tcMar>
              <w:top w:type="dxa" w:w="80"/>
              <w:left w:type="dxa" w:w="110"/>
              <w:bottom w:type="dxa" w:w="80"/>
              <w:right w:type="dxa" w:w="110"/>
            </w:tcMar>
            <w:vAlign w:val="center"/>
          </w:tcPr>
          <w:p>
            <w:r>
              <w:rPr>
                <w:rFonts w:ascii="Times New Roman" w:cs="Times New Roman" w:eastAsia="Times New Roman" w:hAnsi="Times New Roman"/>
                <w:b w:val="false"/>
                <w:bCs w:val="false"/>
                <w:color w:val="404040"/>
                <w:sz w:val="19"/>
                <w:szCs w:val="19"/>
              </w:rPr>
              <w:t xml:space="preserve">Confirmed compromise</w:t>
            </w:r>
          </w:p>
        </w:tc>
      </w:tr>
      <w:tr>
        <w:tc>
          <w:tcPr>
            <w:tcW w:type="pct" w:w="20%"/>
            <w:tcBorders>
              <w:top w:val="single" w:color="BFBFBF" w:sz="4"/>
              <w:left w:val="single" w:color="BFBFBF" w:sz="4"/>
              <w:bottom w:val="single" w:color="BFBFBF" w:sz="4"/>
              <w:right w:val="single" w:color="BFBFBF" w:sz="4"/>
            </w:tcBorders>
            <w:shd w:fill="FFFFFF" w:val="clear"/>
            <w:tcMar>
              <w:top w:type="dxa" w:w="80"/>
              <w:left w:type="dxa" w:w="110"/>
              <w:bottom w:type="dxa" w:w="80"/>
              <w:right w:type="dxa" w:w="110"/>
            </w:tcMar>
            <w:vAlign w:val="center"/>
          </w:tcPr>
          <w:p>
            <w:r>
              <w:rPr>
                <w:rFonts w:ascii="Times New Roman" w:cs="Times New Roman" w:eastAsia="Times New Roman" w:hAnsi="Times New Roman"/>
                <w:b w:val="false"/>
                <w:bCs w:val="false"/>
                <w:color w:val="404040"/>
                <w:sz w:val="19"/>
                <w:szCs w:val="19"/>
              </w:rPr>
              <w:t xml:space="preserve">Compromised account</w:t>
            </w:r>
          </w:p>
        </w:tc>
        <w:tc>
          <w:tcPr>
            <w:tcW w:type="pct" w:w="34%"/>
            <w:tcBorders>
              <w:top w:val="single" w:color="BFBFBF" w:sz="4"/>
              <w:left w:val="single" w:color="BFBFBF" w:sz="4"/>
              <w:bottom w:val="single" w:color="BFBFBF" w:sz="4"/>
              <w:right w:val="single" w:color="BFBFBF" w:sz="4"/>
            </w:tcBorders>
            <w:shd w:fill="FFFFFF" w:val="clear"/>
            <w:tcMar>
              <w:top w:type="dxa" w:w="80"/>
              <w:left w:type="dxa" w:w="110"/>
              <w:bottom w:type="dxa" w:w="80"/>
              <w:right w:type="dxa" w:w="110"/>
            </w:tcMar>
            <w:vAlign w:val="center"/>
          </w:tcPr>
          <w:p>
            <w:r>
              <w:rPr>
                <w:rFonts w:ascii="Times New Roman" w:cs="Times New Roman" w:eastAsia="Times New Roman" w:hAnsi="Times New Roman"/>
                <w:b w:val="false"/>
                <w:bCs w:val="false"/>
                <w:color w:val="404040"/>
                <w:sz w:val="19"/>
                <w:szCs w:val="19"/>
              </w:rPr>
              <w:t xml:space="preserve">ryan.boyd@cloudora.io</w:t>
            </w:r>
          </w:p>
        </w:tc>
        <w:tc>
          <w:tcPr>
            <w:tcW w:type="pct" w:w="46%"/>
            <w:tcBorders>
              <w:top w:val="single" w:color="BFBFBF" w:sz="4"/>
              <w:left w:val="single" w:color="BFBFBF" w:sz="4"/>
              <w:bottom w:val="single" w:color="BFBFBF" w:sz="4"/>
              <w:right w:val="single" w:color="BFBFBF" w:sz="4"/>
            </w:tcBorders>
            <w:shd w:fill="FFFFFF" w:val="clear"/>
            <w:tcMar>
              <w:top w:type="dxa" w:w="80"/>
              <w:left w:type="dxa" w:w="110"/>
              <w:bottom w:type="dxa" w:w="80"/>
              <w:right w:type="dxa" w:w="110"/>
            </w:tcMar>
            <w:vAlign w:val="center"/>
          </w:tcPr>
          <w:p>
            <w:r>
              <w:rPr>
                <w:rFonts w:ascii="Times New Roman" w:cs="Times New Roman" w:eastAsia="Times New Roman" w:hAnsi="Times New Roman"/>
                <w:b w:val="false"/>
                <w:bCs w:val="false"/>
                <w:color w:val="404040"/>
                <w:sz w:val="19"/>
                <w:szCs w:val="19"/>
              </w:rPr>
              <w:t xml:space="preserve">Confirmed compromise</w:t>
            </w:r>
          </w:p>
        </w:tc>
      </w:tr>
    </w:tbl>
    <w:p>
      <w:pPr>
        <w:pStyle w:val="Heading1"/>
        <w:pBdr>
          <w:bottom w:val="single" w:color="1F3864" w:sz="6" w:space="4"/>
        </w:pBdr>
        <w:spacing w:after="200" w:before="480"/>
      </w:pPr>
      <w:r>
        <w:rPr>
          <w:rFonts w:ascii="Times New Roman" w:cs="Times New Roman" w:eastAsia="Times New Roman" w:hAnsi="Times New Roman"/>
          <w:b/>
          <w:bCs/>
          <w:color w:val="1F3864"/>
          <w:sz w:val="30"/>
          <w:szCs w:val="30"/>
        </w:rPr>
        <w:t xml:space="preserve">7. MITRE ATT&amp;CK Mapping</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920"/>
        <w:gridCol w:w="2496"/>
        <w:gridCol w:w="5184"/>
      </w:tblGrid>
      <w:tr>
        <w:trPr>
          <w:tblHeader/>
        </w:trPr>
        <w:tc>
          <w:tcPr>
            <w:tcW w:type="pct" w:w="20%"/>
            <w:tcBorders>
              <w:top w:val="single" w:color="1F3864" w:sz="4"/>
              <w:left w:val="single" w:color="1F3864" w:sz="4"/>
              <w:bottom w:val="single" w:color="1F3864" w:sz="4"/>
              <w:right w:val="single" w:color="1F3864" w:sz="4"/>
            </w:tcBorders>
            <w:shd w:fill="1F3864" w:val="clear"/>
            <w:tcMar>
              <w:top w:type="dxa" w:w="90"/>
              <w:left w:type="dxa" w:w="110"/>
              <w:bottom w:type="dxa" w:w="90"/>
              <w:right w:type="dxa" w:w="110"/>
            </w:tcMar>
            <w:vAlign w:val="center"/>
          </w:tcPr>
          <w:p>
            <w:r>
              <w:rPr>
                <w:rFonts w:ascii="Times New Roman" w:cs="Times New Roman" w:eastAsia="Times New Roman" w:hAnsi="Times New Roman"/>
                <w:b/>
                <w:bCs/>
                <w:color w:val="FFFFFF"/>
                <w:sz w:val="19"/>
                <w:szCs w:val="19"/>
              </w:rPr>
              <w:t xml:space="preserve">Tactic</w:t>
            </w:r>
          </w:p>
        </w:tc>
        <w:tc>
          <w:tcPr>
            <w:tcW w:type="pct" w:w="26%"/>
            <w:tcBorders>
              <w:top w:val="single" w:color="1F3864" w:sz="4"/>
              <w:left w:val="single" w:color="1F3864" w:sz="4"/>
              <w:bottom w:val="single" w:color="1F3864" w:sz="4"/>
              <w:right w:val="single" w:color="1F3864" w:sz="4"/>
            </w:tcBorders>
            <w:shd w:fill="1F3864" w:val="clear"/>
            <w:tcMar>
              <w:top w:type="dxa" w:w="90"/>
              <w:left w:type="dxa" w:w="110"/>
              <w:bottom w:type="dxa" w:w="90"/>
              <w:right w:type="dxa" w:w="110"/>
            </w:tcMar>
            <w:vAlign w:val="center"/>
          </w:tcPr>
          <w:p>
            <w:r>
              <w:rPr>
                <w:rFonts w:ascii="Times New Roman" w:cs="Times New Roman" w:eastAsia="Times New Roman" w:hAnsi="Times New Roman"/>
                <w:b/>
                <w:bCs/>
                <w:color w:val="FFFFFF"/>
                <w:sz w:val="19"/>
                <w:szCs w:val="19"/>
              </w:rPr>
              <w:t xml:space="preserve">Technique</w:t>
            </w:r>
          </w:p>
        </w:tc>
        <w:tc>
          <w:tcPr>
            <w:tcW w:type="pct" w:w="54%"/>
            <w:tcBorders>
              <w:top w:val="single" w:color="1F3864" w:sz="4"/>
              <w:left w:val="single" w:color="1F3864" w:sz="4"/>
              <w:bottom w:val="single" w:color="1F3864" w:sz="4"/>
              <w:right w:val="single" w:color="1F3864" w:sz="4"/>
            </w:tcBorders>
            <w:shd w:fill="1F3864" w:val="clear"/>
            <w:tcMar>
              <w:top w:type="dxa" w:w="90"/>
              <w:left w:type="dxa" w:w="110"/>
              <w:bottom w:type="dxa" w:w="90"/>
              <w:right w:type="dxa" w:w="110"/>
            </w:tcMar>
            <w:vAlign w:val="center"/>
          </w:tcPr>
          <w:p>
            <w:r>
              <w:rPr>
                <w:rFonts w:ascii="Times New Roman" w:cs="Times New Roman" w:eastAsia="Times New Roman" w:hAnsi="Times New Roman"/>
                <w:b/>
                <w:bCs/>
                <w:color w:val="FFFFFF"/>
                <w:sz w:val="19"/>
                <w:szCs w:val="19"/>
              </w:rPr>
              <w:t xml:space="preserve">Observed behaviour</w:t>
            </w:r>
          </w:p>
        </w:tc>
      </w:tr>
      <w:tr>
        <w:tc>
          <w:tcPr>
            <w:tcW w:type="pct" w:w="20%"/>
            <w:tcBorders>
              <w:top w:val="single" w:color="BFBFBF" w:sz="4"/>
              <w:left w:val="single" w:color="BFBFBF" w:sz="4"/>
              <w:bottom w:val="single" w:color="BFBFBF" w:sz="4"/>
              <w:right w:val="single" w:color="BFBFBF" w:sz="4"/>
            </w:tcBorders>
            <w:shd w:fill="FFFFFF" w:val="clear"/>
            <w:tcMar>
              <w:top w:type="dxa" w:w="80"/>
              <w:left w:type="dxa" w:w="110"/>
              <w:bottom w:type="dxa" w:w="80"/>
              <w:right w:type="dxa" w:w="110"/>
            </w:tcMar>
            <w:vAlign w:val="center"/>
          </w:tcPr>
          <w:p>
            <w:r>
              <w:rPr>
                <w:rFonts w:ascii="Times New Roman" w:cs="Times New Roman" w:eastAsia="Times New Roman" w:hAnsi="Times New Roman"/>
                <w:b w:val="false"/>
                <w:bCs w:val="false"/>
                <w:color w:val="404040"/>
                <w:sz w:val="19"/>
                <w:szCs w:val="19"/>
              </w:rPr>
              <w:t xml:space="preserve">Initial Access</w:t>
            </w:r>
          </w:p>
        </w:tc>
        <w:tc>
          <w:tcPr>
            <w:tcW w:type="pct" w:w="26%"/>
            <w:tcBorders>
              <w:top w:val="single" w:color="BFBFBF" w:sz="4"/>
              <w:left w:val="single" w:color="BFBFBF" w:sz="4"/>
              <w:bottom w:val="single" w:color="BFBFBF" w:sz="4"/>
              <w:right w:val="single" w:color="BFBFBF" w:sz="4"/>
            </w:tcBorders>
            <w:shd w:fill="FFFFFF" w:val="clear"/>
            <w:tcMar>
              <w:top w:type="dxa" w:w="80"/>
              <w:left w:type="dxa" w:w="110"/>
              <w:bottom w:type="dxa" w:w="80"/>
              <w:right w:type="dxa" w:w="110"/>
            </w:tcMar>
            <w:vAlign w:val="center"/>
          </w:tcPr>
          <w:p>
            <w:r>
              <w:rPr>
                <w:rFonts w:ascii="Times New Roman" w:cs="Times New Roman" w:eastAsia="Times New Roman" w:hAnsi="Times New Roman"/>
                <w:b w:val="false"/>
                <w:bCs w:val="false"/>
                <w:color w:val="404040"/>
                <w:sz w:val="19"/>
                <w:szCs w:val="19"/>
              </w:rPr>
              <w:t xml:space="preserve">T1566.002 — Phishing: Spearphishing Link</w:t>
            </w:r>
          </w:p>
        </w:tc>
        <w:tc>
          <w:tcPr>
            <w:tcW w:type="pct" w:w="54%"/>
            <w:tcBorders>
              <w:top w:val="single" w:color="BFBFBF" w:sz="4"/>
              <w:left w:val="single" w:color="BFBFBF" w:sz="4"/>
              <w:bottom w:val="single" w:color="BFBFBF" w:sz="4"/>
              <w:right w:val="single" w:color="BFBFBF" w:sz="4"/>
            </w:tcBorders>
            <w:shd w:fill="FFFFFF" w:val="clear"/>
            <w:tcMar>
              <w:top w:type="dxa" w:w="80"/>
              <w:left w:type="dxa" w:w="110"/>
              <w:bottom w:type="dxa" w:w="80"/>
              <w:right w:type="dxa" w:w="110"/>
            </w:tcMar>
            <w:vAlign w:val="center"/>
          </w:tcPr>
          <w:p>
            <w:r>
              <w:rPr>
                <w:rFonts w:ascii="Times New Roman" w:cs="Times New Roman" w:eastAsia="Times New Roman" w:hAnsi="Times New Roman"/>
                <w:b w:val="false"/>
                <w:bCs w:val="false"/>
                <w:color w:val="404040"/>
                <w:sz w:val="19"/>
                <w:szCs w:val="19"/>
              </w:rPr>
              <w:t xml:space="preserve">Payroll-themed email with a credential-harvesting link sent to 40 staff across two variants</w:t>
            </w:r>
          </w:p>
        </w:tc>
      </w:tr>
      <w:tr>
        <w:tc>
          <w:tcPr>
            <w:tcW w:type="pct" w:w="20%"/>
            <w:tcBorders>
              <w:top w:val="single" w:color="BFBFBF" w:sz="4"/>
              <w:left w:val="single" w:color="BFBFBF" w:sz="4"/>
              <w:bottom w:val="single" w:color="BFBFBF" w:sz="4"/>
              <w:right w:val="single" w:color="BFBFBF" w:sz="4"/>
            </w:tcBorders>
            <w:shd w:fill="F7F9FC" w:val="clear"/>
            <w:tcMar>
              <w:top w:type="dxa" w:w="80"/>
              <w:left w:type="dxa" w:w="110"/>
              <w:bottom w:type="dxa" w:w="80"/>
              <w:right w:type="dxa" w:w="110"/>
            </w:tcMar>
            <w:vAlign w:val="center"/>
          </w:tcPr>
          <w:p>
            <w:r>
              <w:rPr>
                <w:rFonts w:ascii="Times New Roman" w:cs="Times New Roman" w:eastAsia="Times New Roman" w:hAnsi="Times New Roman"/>
                <w:b w:val="false"/>
                <w:bCs w:val="false"/>
                <w:color w:val="404040"/>
                <w:sz w:val="19"/>
                <w:szCs w:val="19"/>
              </w:rPr>
              <w:t xml:space="preserve">Initial Access</w:t>
            </w:r>
          </w:p>
        </w:tc>
        <w:tc>
          <w:tcPr>
            <w:tcW w:type="pct" w:w="26%"/>
            <w:tcBorders>
              <w:top w:val="single" w:color="BFBFBF" w:sz="4"/>
              <w:left w:val="single" w:color="BFBFBF" w:sz="4"/>
              <w:bottom w:val="single" w:color="BFBFBF" w:sz="4"/>
              <w:right w:val="single" w:color="BFBFBF" w:sz="4"/>
            </w:tcBorders>
            <w:shd w:fill="F7F9FC" w:val="clear"/>
            <w:tcMar>
              <w:top w:type="dxa" w:w="80"/>
              <w:left w:type="dxa" w:w="110"/>
              <w:bottom w:type="dxa" w:w="80"/>
              <w:right w:type="dxa" w:w="110"/>
            </w:tcMar>
            <w:vAlign w:val="center"/>
          </w:tcPr>
          <w:p>
            <w:r>
              <w:rPr>
                <w:rFonts w:ascii="Times New Roman" w:cs="Times New Roman" w:eastAsia="Times New Roman" w:hAnsi="Times New Roman"/>
                <w:b w:val="false"/>
                <w:bCs w:val="false"/>
                <w:color w:val="404040"/>
                <w:sz w:val="19"/>
                <w:szCs w:val="19"/>
              </w:rPr>
              <w:t xml:space="preserve">T1078 — Valid Accounts</w:t>
            </w:r>
          </w:p>
        </w:tc>
        <w:tc>
          <w:tcPr>
            <w:tcW w:type="pct" w:w="54%"/>
            <w:tcBorders>
              <w:top w:val="single" w:color="BFBFBF" w:sz="4"/>
              <w:left w:val="single" w:color="BFBFBF" w:sz="4"/>
              <w:bottom w:val="single" w:color="BFBFBF" w:sz="4"/>
              <w:right w:val="single" w:color="BFBFBF" w:sz="4"/>
            </w:tcBorders>
            <w:shd w:fill="F7F9FC" w:val="clear"/>
            <w:tcMar>
              <w:top w:type="dxa" w:w="80"/>
              <w:left w:type="dxa" w:w="110"/>
              <w:bottom w:type="dxa" w:w="80"/>
              <w:right w:type="dxa" w:w="110"/>
            </w:tcMar>
            <w:vAlign w:val="center"/>
          </w:tcPr>
          <w:p>
            <w:r>
              <w:rPr>
                <w:rFonts w:ascii="Times New Roman" w:cs="Times New Roman" w:eastAsia="Times New Roman" w:hAnsi="Times New Roman"/>
                <w:b w:val="false"/>
                <w:bCs w:val="false"/>
                <w:color w:val="404040"/>
                <w:sz w:val="19"/>
                <w:szCs w:val="19"/>
              </w:rPr>
              <w:t xml:space="preserve">Attacker signed in to both accounts using harvested passwords, first attempt succeeding each time</w:t>
            </w:r>
          </w:p>
        </w:tc>
      </w:tr>
      <w:tr>
        <w:tc>
          <w:tcPr>
            <w:tcW w:type="pct" w:w="20%"/>
            <w:tcBorders>
              <w:top w:val="single" w:color="BFBFBF" w:sz="4"/>
              <w:left w:val="single" w:color="BFBFBF" w:sz="4"/>
              <w:bottom w:val="single" w:color="BFBFBF" w:sz="4"/>
              <w:right w:val="single" w:color="BFBFBF" w:sz="4"/>
            </w:tcBorders>
            <w:shd w:fill="FFFFFF" w:val="clear"/>
            <w:tcMar>
              <w:top w:type="dxa" w:w="80"/>
              <w:left w:type="dxa" w:w="110"/>
              <w:bottom w:type="dxa" w:w="80"/>
              <w:right w:type="dxa" w:w="110"/>
            </w:tcMar>
            <w:vAlign w:val="center"/>
          </w:tcPr>
          <w:p>
            <w:r>
              <w:rPr>
                <w:rFonts w:ascii="Times New Roman" w:cs="Times New Roman" w:eastAsia="Times New Roman" w:hAnsi="Times New Roman"/>
                <w:b w:val="false"/>
                <w:bCs w:val="false"/>
                <w:color w:val="404040"/>
                <w:sz w:val="19"/>
                <w:szCs w:val="19"/>
              </w:rPr>
              <w:t xml:space="preserve">Defense Evasion</w:t>
            </w:r>
          </w:p>
        </w:tc>
        <w:tc>
          <w:tcPr>
            <w:tcW w:type="pct" w:w="26%"/>
            <w:tcBorders>
              <w:top w:val="single" w:color="BFBFBF" w:sz="4"/>
              <w:left w:val="single" w:color="BFBFBF" w:sz="4"/>
              <w:bottom w:val="single" w:color="BFBFBF" w:sz="4"/>
              <w:right w:val="single" w:color="BFBFBF" w:sz="4"/>
            </w:tcBorders>
            <w:shd w:fill="FFFFFF" w:val="clear"/>
            <w:tcMar>
              <w:top w:type="dxa" w:w="80"/>
              <w:left w:type="dxa" w:w="110"/>
              <w:bottom w:type="dxa" w:w="80"/>
              <w:right w:type="dxa" w:w="110"/>
            </w:tcMar>
            <w:vAlign w:val="center"/>
          </w:tcPr>
          <w:p>
            <w:r>
              <w:rPr>
                <w:rFonts w:ascii="Times New Roman" w:cs="Times New Roman" w:eastAsia="Times New Roman" w:hAnsi="Times New Roman"/>
                <w:b w:val="false"/>
                <w:bCs w:val="false"/>
                <w:color w:val="404040"/>
                <w:sz w:val="19"/>
                <w:szCs w:val="19"/>
              </w:rPr>
              <w:t xml:space="preserve">T1036.005 — Match Legitimate Name or Location</w:t>
            </w:r>
          </w:p>
        </w:tc>
        <w:tc>
          <w:tcPr>
            <w:tcW w:type="pct" w:w="54%"/>
            <w:tcBorders>
              <w:top w:val="single" w:color="BFBFBF" w:sz="4"/>
              <w:left w:val="single" w:color="BFBFBF" w:sz="4"/>
              <w:bottom w:val="single" w:color="BFBFBF" w:sz="4"/>
              <w:right w:val="single" w:color="BFBFBF" w:sz="4"/>
            </w:tcBorders>
            <w:shd w:fill="FFFFFF" w:val="clear"/>
            <w:tcMar>
              <w:top w:type="dxa" w:w="80"/>
              <w:left w:type="dxa" w:w="110"/>
              <w:bottom w:type="dxa" w:w="80"/>
              <w:right w:type="dxa" w:w="110"/>
            </w:tcMar>
            <w:vAlign w:val="center"/>
          </w:tcPr>
          <w:p>
            <w:r>
              <w:rPr>
                <w:rFonts w:ascii="Times New Roman" w:cs="Times New Roman" w:eastAsia="Times New Roman" w:hAnsi="Times New Roman"/>
                <w:b w:val="false"/>
                <w:bCs w:val="false"/>
                <w:color w:val="404040"/>
                <w:sz w:val="19"/>
                <w:szCs w:val="19"/>
              </w:rPr>
              <w:t xml:space="preserve">Lookalike domain cloudora-hr-portal.example and spoofed payroll@cloudora.io display name</w:t>
            </w:r>
          </w:p>
        </w:tc>
      </w:tr>
      <w:tr>
        <w:tc>
          <w:tcPr>
            <w:tcW w:type="pct" w:w="20%"/>
            <w:tcBorders>
              <w:top w:val="single" w:color="BFBFBF" w:sz="4"/>
              <w:left w:val="single" w:color="BFBFBF" w:sz="4"/>
              <w:bottom w:val="single" w:color="BFBFBF" w:sz="4"/>
              <w:right w:val="single" w:color="BFBFBF" w:sz="4"/>
            </w:tcBorders>
            <w:shd w:fill="F7F9FC" w:val="clear"/>
            <w:tcMar>
              <w:top w:type="dxa" w:w="80"/>
              <w:left w:type="dxa" w:w="110"/>
              <w:bottom w:type="dxa" w:w="80"/>
              <w:right w:type="dxa" w:w="110"/>
            </w:tcMar>
            <w:vAlign w:val="center"/>
          </w:tcPr>
          <w:p>
            <w:r>
              <w:rPr>
                <w:rFonts w:ascii="Times New Roman" w:cs="Times New Roman" w:eastAsia="Times New Roman" w:hAnsi="Times New Roman"/>
                <w:b w:val="false"/>
                <w:bCs w:val="false"/>
                <w:color w:val="404040"/>
                <w:sz w:val="19"/>
                <w:szCs w:val="19"/>
              </w:rPr>
              <w:t xml:space="preserve">Credential Access</w:t>
            </w:r>
          </w:p>
        </w:tc>
        <w:tc>
          <w:tcPr>
            <w:tcW w:type="pct" w:w="26%"/>
            <w:tcBorders>
              <w:top w:val="single" w:color="BFBFBF" w:sz="4"/>
              <w:left w:val="single" w:color="BFBFBF" w:sz="4"/>
              <w:bottom w:val="single" w:color="BFBFBF" w:sz="4"/>
              <w:right w:val="single" w:color="BFBFBF" w:sz="4"/>
            </w:tcBorders>
            <w:shd w:fill="F7F9FC" w:val="clear"/>
            <w:tcMar>
              <w:top w:type="dxa" w:w="80"/>
              <w:left w:type="dxa" w:w="110"/>
              <w:bottom w:type="dxa" w:w="80"/>
              <w:right w:type="dxa" w:w="110"/>
            </w:tcMar>
            <w:vAlign w:val="center"/>
          </w:tcPr>
          <w:p>
            <w:r>
              <w:rPr>
                <w:rFonts w:ascii="Times New Roman" w:cs="Times New Roman" w:eastAsia="Times New Roman" w:hAnsi="Times New Roman"/>
                <w:b w:val="false"/>
                <w:bCs w:val="false"/>
                <w:color w:val="404040"/>
                <w:sz w:val="19"/>
                <w:szCs w:val="19"/>
              </w:rPr>
              <w:t xml:space="preserve">T1589 / T1598 — Credential harvesting via a lookalike portal</w:t>
            </w:r>
          </w:p>
        </w:tc>
        <w:tc>
          <w:tcPr>
            <w:tcW w:type="pct" w:w="54%"/>
            <w:tcBorders>
              <w:top w:val="single" w:color="BFBFBF" w:sz="4"/>
              <w:left w:val="single" w:color="BFBFBF" w:sz="4"/>
              <w:bottom w:val="single" w:color="BFBFBF" w:sz="4"/>
              <w:right w:val="single" w:color="BFBFBF" w:sz="4"/>
            </w:tcBorders>
            <w:shd w:fill="F7F9FC" w:val="clear"/>
            <w:tcMar>
              <w:top w:type="dxa" w:w="80"/>
              <w:left w:type="dxa" w:w="110"/>
              <w:bottom w:type="dxa" w:w="80"/>
              <w:right w:type="dxa" w:w="110"/>
            </w:tcMar>
            <w:vAlign w:val="center"/>
          </w:tcPr>
          <w:p>
            <w:r>
              <w:rPr>
                <w:rFonts w:ascii="Times New Roman" w:cs="Times New Roman" w:eastAsia="Times New Roman" w:hAnsi="Times New Roman"/>
                <w:b w:val="false"/>
                <w:bCs w:val="false"/>
                <w:color w:val="404040"/>
                <w:sz w:val="19"/>
                <w:szCs w:val="19"/>
              </w:rPr>
              <w:t xml:space="preserve">Fake payroll login page collected two staff members' passwords</w:t>
            </w:r>
          </w:p>
        </w:tc>
      </w:tr>
      <w:tr>
        <w:tc>
          <w:tcPr>
            <w:tcW w:type="pct" w:w="20%"/>
            <w:tcBorders>
              <w:top w:val="single" w:color="BFBFBF" w:sz="4"/>
              <w:left w:val="single" w:color="BFBFBF" w:sz="4"/>
              <w:bottom w:val="single" w:color="BFBFBF" w:sz="4"/>
              <w:right w:val="single" w:color="BFBFBF" w:sz="4"/>
            </w:tcBorders>
            <w:shd w:fill="FFFFFF" w:val="clear"/>
            <w:tcMar>
              <w:top w:type="dxa" w:w="80"/>
              <w:left w:type="dxa" w:w="110"/>
              <w:bottom w:type="dxa" w:w="80"/>
              <w:right w:type="dxa" w:w="110"/>
            </w:tcMar>
            <w:vAlign w:val="center"/>
          </w:tcPr>
          <w:p>
            <w:r>
              <w:rPr>
                <w:rFonts w:ascii="Times New Roman" w:cs="Times New Roman" w:eastAsia="Times New Roman" w:hAnsi="Times New Roman"/>
                <w:b w:val="false"/>
                <w:bCs w:val="false"/>
                <w:color w:val="404040"/>
                <w:sz w:val="19"/>
                <w:szCs w:val="19"/>
              </w:rPr>
              <w:t xml:space="preserve">Collection</w:t>
            </w:r>
          </w:p>
        </w:tc>
        <w:tc>
          <w:tcPr>
            <w:tcW w:type="pct" w:w="26%"/>
            <w:tcBorders>
              <w:top w:val="single" w:color="BFBFBF" w:sz="4"/>
              <w:left w:val="single" w:color="BFBFBF" w:sz="4"/>
              <w:bottom w:val="single" w:color="BFBFBF" w:sz="4"/>
              <w:right w:val="single" w:color="BFBFBF" w:sz="4"/>
            </w:tcBorders>
            <w:shd w:fill="FFFFFF" w:val="clear"/>
            <w:tcMar>
              <w:top w:type="dxa" w:w="80"/>
              <w:left w:type="dxa" w:w="110"/>
              <w:bottom w:type="dxa" w:w="80"/>
              <w:right w:type="dxa" w:w="110"/>
            </w:tcMar>
            <w:vAlign w:val="center"/>
          </w:tcPr>
          <w:p>
            <w:r>
              <w:rPr>
                <w:rFonts w:ascii="Times New Roman" w:cs="Times New Roman" w:eastAsia="Times New Roman" w:hAnsi="Times New Roman"/>
                <w:b w:val="false"/>
                <w:bCs w:val="false"/>
                <w:color w:val="404040"/>
                <w:sz w:val="19"/>
                <w:szCs w:val="19"/>
              </w:rPr>
              <w:t xml:space="preserve">T1114 — Email Collection (post-access)</w:t>
            </w:r>
          </w:p>
        </w:tc>
        <w:tc>
          <w:tcPr>
            <w:tcW w:type="pct" w:w="54%"/>
            <w:tcBorders>
              <w:top w:val="single" w:color="BFBFBF" w:sz="4"/>
              <w:left w:val="single" w:color="BFBFBF" w:sz="4"/>
              <w:bottom w:val="single" w:color="BFBFBF" w:sz="4"/>
              <w:right w:val="single" w:color="BFBFBF" w:sz="4"/>
            </w:tcBorders>
            <w:shd w:fill="FFFFFF" w:val="clear"/>
            <w:tcMar>
              <w:top w:type="dxa" w:w="80"/>
              <w:left w:type="dxa" w:w="110"/>
              <w:bottom w:type="dxa" w:w="80"/>
              <w:right w:type="dxa" w:w="110"/>
            </w:tcMar>
            <w:vAlign w:val="center"/>
          </w:tcPr>
          <w:p>
            <w:r>
              <w:rPr>
                <w:rFonts w:ascii="Times New Roman" w:cs="Times New Roman" w:eastAsia="Times New Roman" w:hAnsi="Times New Roman"/>
                <w:b w:val="false"/>
                <w:bCs w:val="false"/>
                <w:color w:val="404040"/>
                <w:sz w:val="19"/>
                <w:szCs w:val="19"/>
              </w:rPr>
              <w:t xml:space="preserve">Outlook Web and SharePoint accessed from both compromised sessions</w:t>
            </w:r>
          </w:p>
        </w:tc>
      </w:tr>
    </w:tbl>
    <w:p>
      <w:pPr>
        <w:pStyle w:val="Heading1"/>
        <w:pBdr>
          <w:bottom w:val="single" w:color="1F3864" w:sz="6" w:space="4"/>
        </w:pBdr>
        <w:spacing w:after="200" w:before="480"/>
      </w:pPr>
      <w:r>
        <w:rPr>
          <w:rFonts w:ascii="Times New Roman" w:cs="Times New Roman" w:eastAsia="Times New Roman" w:hAnsi="Times New Roman"/>
          <w:b/>
          <w:bCs/>
          <w:color w:val="1F3864"/>
          <w:sz w:val="30"/>
          <w:szCs w:val="30"/>
        </w:rPr>
        <w:t xml:space="preserve">8. Detection Logic</w:t>
      </w:r>
    </w:p>
    <w:p>
      <w:pPr>
        <w:spacing w:after="160" w:line="276"/>
        <w:jc w:val="both"/>
      </w:pPr>
      <w:r>
        <w:rPr>
          <w:rFonts w:ascii="Times New Roman" w:cs="Times New Roman" w:eastAsia="Times New Roman" w:hAnsi="Times New Roman"/>
          <w:color w:val="404040"/>
          <w:sz w:val="22"/>
          <w:szCs w:val="22"/>
        </w:rPr>
        <w:t xml:space="preserve">The queries below (KQL, Microsoft Sentinel / Azure Data Explorer syntax) were used during the investigation. Full text of every query is in Appendix A. Task 4 of the exercise asks for one new detection rule; it is included as 8.3 below.</w:t>
      </w:r>
    </w:p>
    <w:p>
      <w:pPr>
        <w:pStyle w:val="Heading2"/>
        <w:spacing w:after="140" w:before="320"/>
      </w:pPr>
      <w:r>
        <w:rPr>
          <w:rFonts w:ascii="Times New Roman" w:cs="Times New Roman" w:eastAsia="Times New Roman" w:hAnsi="Times New Roman"/>
          <w:b/>
          <w:bCs/>
          <w:color w:val="1F3864"/>
          <w:sz w:val="25"/>
          <w:szCs w:val="25"/>
        </w:rPr>
        <w:t xml:space="preserve">8.1 Credential submitters signing in from new infrastructure</w:t>
      </w:r>
    </w:p>
    <w:p>
      <w:pPr>
        <w:spacing w:after="0"/>
      </w:pPr>
      <w:r>
        <w:rPr>
          <w:rFonts w:ascii="Courier New" w:cs="Courier New" w:eastAsia="Courier New" w:hAnsi="Courier New"/>
          <w:color w:val="1B1B1B"/>
          <w:sz w:val="18"/>
          <w:szCs w:val="18"/>
        </w:rPr>
        <w:t xml:space="preserve">let CredVictims = CloudoraMsgTrace_CL</w:t>
      </w:r>
    </w:p>
    <w:p>
      <w:pPr>
        <w:spacing w:after="0"/>
      </w:pPr>
      <w:r>
        <w:rPr>
          <w:rFonts w:ascii="Courier New" w:cs="Courier New" w:eastAsia="Courier New" w:hAnsi="Courier New"/>
          <w:color w:val="1B1B1B"/>
          <w:sz w:val="18"/>
          <w:szCs w:val="18"/>
        </w:rPr>
        <w:t xml:space="preserve">    | where EventType == "Click" and CredentialsSubmitted == "Yes"</w:t>
      </w:r>
    </w:p>
    <w:p>
      <w:pPr>
        <w:spacing w:after="0"/>
      </w:pPr>
      <w:r>
        <w:rPr>
          <w:rFonts w:ascii="Courier New" w:cs="Courier New" w:eastAsia="Courier New" w:hAnsi="Courier New"/>
          <w:color w:val="1B1B1B"/>
          <w:sz w:val="18"/>
          <w:szCs w:val="18"/>
        </w:rPr>
        <w:t xml:space="preserve">    | distinct RecipientAddress;</w:t>
      </w:r>
    </w:p>
    <w:p>
      <w:pPr>
        <w:spacing w:after="0"/>
      </w:pPr>
      <w:r>
        <w:rPr>
          <w:rFonts w:ascii="Courier New" w:cs="Courier New" w:eastAsia="Courier New" w:hAnsi="Courier New"/>
          <w:color w:val="1B1B1B"/>
          <w:sz w:val="18"/>
          <w:szCs w:val="18"/>
        </w:rPr>
        <w:t xml:space="preserve">CloudoraSignIn_CL</w:t>
      </w:r>
    </w:p>
    <w:p>
      <w:pPr>
        <w:spacing w:after="0"/>
      </w:pPr>
      <w:r>
        <w:rPr>
          <w:rFonts w:ascii="Courier New" w:cs="Courier New" w:eastAsia="Courier New" w:hAnsi="Courier New"/>
          <w:color w:val="1B1B1B"/>
          <w:sz w:val="18"/>
          <w:szCs w:val="18"/>
        </w:rPr>
        <w:t xml:space="preserve">| where UserPrincipalName in (CredVictims)</w:t>
      </w:r>
    </w:p>
    <w:p>
      <w:pPr>
        <w:spacing w:after="0"/>
      </w:pPr>
      <w:r>
        <w:rPr>
          <w:rFonts w:ascii="Courier New" w:cs="Courier New" w:eastAsia="Courier New" w:hAnsi="Courier New"/>
          <w:color w:val="1B1B1B"/>
          <w:sz w:val="18"/>
          <w:szCs w:val="18"/>
        </w:rPr>
        <w:t xml:space="preserve">| where ResultType == "0"</w:t>
      </w:r>
    </w:p>
    <w:p>
      <w:pPr>
        <w:spacing w:after="160" w:line="276"/>
        <w:jc w:val="both"/>
      </w:pPr>
      <w:r>
        <w:rPr>
          <w:rFonts w:ascii="Times New Roman" w:cs="Times New Roman" w:eastAsia="Times New Roman" w:hAnsi="Times New Roman"/>
          <w:color w:val="404040"/>
          <w:sz w:val="22"/>
          <w:szCs w:val="22"/>
        </w:rPr>
        <w:t xml:space="preserve">Surfaces every successful sign-in belonging to an account that is known to have submitted credentials to a phishing page — the direct link between the click event and the account-takeover step.</w:t>
      </w:r>
    </w:p>
    <w:p>
      <w:pPr>
        <w:pStyle w:val="Heading2"/>
        <w:spacing w:after="140" w:before="320"/>
      </w:pPr>
      <w:r>
        <w:rPr>
          <w:rFonts w:ascii="Times New Roman" w:cs="Times New Roman" w:eastAsia="Times New Roman" w:hAnsi="Times New Roman"/>
          <w:b/>
          <w:bCs/>
          <w:color w:val="1F3864"/>
          <w:sz w:val="25"/>
          <w:szCs w:val="25"/>
        </w:rPr>
        <w:t xml:space="preserve">8.2 Attacker-IP pivot to catch every victim, not just the first</w:t>
      </w:r>
    </w:p>
    <w:p>
      <w:pPr>
        <w:spacing w:after="0"/>
      </w:pPr>
      <w:r>
        <w:rPr>
          <w:rFonts w:ascii="Courier New" w:cs="Courier New" w:eastAsia="Courier New" w:hAnsi="Courier New"/>
          <w:color w:val="1B1B1B"/>
          <w:sz w:val="18"/>
          <w:szCs w:val="18"/>
        </w:rPr>
        <w:t xml:space="preserve">CloudoraSignIn_CL</w:t>
      </w:r>
    </w:p>
    <w:p>
      <w:pPr>
        <w:spacing w:after="0"/>
      </w:pPr>
      <w:r>
        <w:rPr>
          <w:rFonts w:ascii="Courier New" w:cs="Courier New" w:eastAsia="Courier New" w:hAnsi="Courier New"/>
          <w:color w:val="1B1B1B"/>
          <w:sz w:val="18"/>
          <w:szCs w:val="18"/>
        </w:rPr>
        <w:t xml:space="preserve">| where IPAddress startswith "198.18.7." and ResultType == "0"</w:t>
      </w:r>
    </w:p>
    <w:p>
      <w:pPr>
        <w:spacing w:after="0"/>
      </w:pPr>
      <w:r>
        <w:rPr>
          <w:rFonts w:ascii="Courier New" w:cs="Courier New" w:eastAsia="Courier New" w:hAnsi="Courier New"/>
          <w:color w:val="1B1B1B"/>
          <w:sz w:val="18"/>
          <w:szCs w:val="18"/>
        </w:rPr>
        <w:t xml:space="preserve">| summarize FirstSeen=min(TimeGenerated), LastSeen=max(TimeGenerated),</w:t>
      </w:r>
    </w:p>
    <w:p>
      <w:pPr>
        <w:spacing w:after="0"/>
      </w:pPr>
      <w:r>
        <w:rPr>
          <w:rFonts w:ascii="Courier New" w:cs="Courier New" w:eastAsia="Courier New" w:hAnsi="Courier New"/>
          <w:color w:val="1B1B1B"/>
          <w:sz w:val="18"/>
          <w:szCs w:val="18"/>
        </w:rPr>
        <w:t xml:space="preserve">            Apps=make_set(AppDisplayName) by UserPrincipalName, IPAddress, Country</w:t>
      </w:r>
    </w:p>
    <w:p>
      <w:pPr>
        <w:spacing w:after="160" w:line="276"/>
        <w:jc w:val="both"/>
      </w:pPr>
      <w:r>
        <w:rPr>
          <w:rFonts w:ascii="Times New Roman" w:cs="Times New Roman" w:eastAsia="Times New Roman" w:hAnsi="Times New Roman"/>
          <w:color w:val="404040"/>
          <w:sz w:val="22"/>
          <w:szCs w:val="22"/>
        </w:rPr>
        <w:t xml:space="preserve">Once one attacker IP is known, this rule finds every account that IP touched — the query that turned a one-victim assumption into two confirmed compromises in this investigation.</w:t>
      </w:r>
    </w:p>
    <w:p>
      <w:pPr>
        <w:pStyle w:val="Heading2"/>
        <w:spacing w:after="140" w:before="320"/>
      </w:pPr>
      <w:r>
        <w:rPr>
          <w:rFonts w:ascii="Times New Roman" w:cs="Times New Roman" w:eastAsia="Times New Roman" w:hAnsi="Times New Roman"/>
          <w:b/>
          <w:bCs/>
          <w:color w:val="1F3864"/>
          <w:sz w:val="25"/>
          <w:szCs w:val="25"/>
        </w:rPr>
        <w:t xml:space="preserve">8.3 Standing rule (Task 4) — new-country sign-in shortly after a phishing click</w:t>
      </w:r>
    </w:p>
    <w:p>
      <w:pPr>
        <w:spacing w:after="0"/>
      </w:pPr>
      <w:r>
        <w:rPr>
          <w:rFonts w:ascii="Courier New" w:cs="Courier New" w:eastAsia="Courier New" w:hAnsi="Courier New"/>
          <w:color w:val="1B1B1B"/>
          <w:sz w:val="18"/>
          <w:szCs w:val="18"/>
        </w:rPr>
        <w:t xml:space="preserve">let RecentClickers = CloudoraMsgTrace_CL</w:t>
      </w:r>
    </w:p>
    <w:p>
      <w:pPr>
        <w:spacing w:after="0"/>
      </w:pPr>
      <w:r>
        <w:rPr>
          <w:rFonts w:ascii="Courier New" w:cs="Courier New" w:eastAsia="Courier New" w:hAnsi="Courier New"/>
          <w:color w:val="1B1B1B"/>
          <w:sz w:val="18"/>
          <w:szCs w:val="18"/>
        </w:rPr>
        <w:t xml:space="preserve">    | where EventType == "Click"</w:t>
      </w:r>
    </w:p>
    <w:p>
      <w:pPr>
        <w:spacing w:after="0"/>
      </w:pPr>
      <w:r>
        <w:rPr>
          <w:rFonts w:ascii="Courier New" w:cs="Courier New" w:eastAsia="Courier New" w:hAnsi="Courier New"/>
          <w:color w:val="1B1B1B"/>
          <w:sz w:val="18"/>
          <w:szCs w:val="18"/>
        </w:rPr>
        <w:t xml:space="preserve">    | project RecipientAddress, ClickTime = TimeGenerated;</w:t>
      </w:r>
    </w:p>
    <w:p>
      <w:pPr>
        <w:spacing w:after="0"/>
      </w:pPr>
      <w:r>
        <w:rPr>
          <w:rFonts w:ascii="Courier New" w:cs="Courier New" w:eastAsia="Courier New" w:hAnsi="Courier New"/>
          <w:color w:val="1B1B1B"/>
          <w:sz w:val="18"/>
          <w:szCs w:val="18"/>
        </w:rPr>
        <w:t xml:space="preserve">CloudoraSignIn_CL</w:t>
      </w:r>
    </w:p>
    <w:p>
      <w:pPr>
        <w:spacing w:after="0"/>
      </w:pPr>
      <w:r>
        <w:rPr>
          <w:rFonts w:ascii="Courier New" w:cs="Courier New" w:eastAsia="Courier New" w:hAnsi="Courier New"/>
          <w:color w:val="1B1B1B"/>
          <w:sz w:val="18"/>
          <w:szCs w:val="18"/>
        </w:rPr>
        <w:t xml:space="preserve">| where ResultType == "0"</w:t>
      </w:r>
    </w:p>
    <w:p>
      <w:pPr>
        <w:spacing w:after="0"/>
      </w:pPr>
      <w:r>
        <w:rPr>
          <w:rFonts w:ascii="Courier New" w:cs="Courier New" w:eastAsia="Courier New" w:hAnsi="Courier New"/>
          <w:color w:val="1B1B1B"/>
          <w:sz w:val="18"/>
          <w:szCs w:val="18"/>
        </w:rPr>
        <w:t xml:space="preserve">| join kind=inner RecentClickers on $left.UserPrincipalName == $right.RecipientAddress</w:t>
      </w:r>
    </w:p>
    <w:p>
      <w:pPr>
        <w:spacing w:after="0"/>
      </w:pPr>
      <w:r>
        <w:rPr>
          <w:rFonts w:ascii="Courier New" w:cs="Courier New" w:eastAsia="Courier New" w:hAnsi="Courier New"/>
          <w:color w:val="1B1B1B"/>
          <w:sz w:val="18"/>
          <w:szCs w:val="18"/>
        </w:rPr>
        <w:t xml:space="preserve">| where TimeGenerated between (ClickTime .. ClickTime + 6h)</w:t>
      </w:r>
    </w:p>
    <w:p>
      <w:pPr>
        <w:spacing w:after="0"/>
      </w:pPr>
      <w:r>
        <w:rPr>
          <w:rFonts w:ascii="Courier New" w:cs="Courier New" w:eastAsia="Courier New" w:hAnsi="Courier New"/>
          <w:color w:val="1B1B1B"/>
          <w:sz w:val="18"/>
          <w:szCs w:val="18"/>
        </w:rPr>
        <w:t xml:space="preserve">| where Country != "United Kingdom"</w:t>
      </w:r>
    </w:p>
    <w:p>
      <w:pPr>
        <w:spacing w:after="160" w:line="276"/>
        <w:jc w:val="both"/>
      </w:pPr>
      <w:r>
        <w:rPr>
          <w:rFonts w:ascii="Times New Roman" w:cs="Times New Roman" w:eastAsia="Times New Roman" w:hAnsi="Times New Roman"/>
          <w:color w:val="404040"/>
          <w:sz w:val="22"/>
          <w:szCs w:val="22"/>
        </w:rPr>
        <w:t xml:space="preserve">This rule correlates a successful sign-in directly to a phishing-link click by the same account within a 6-hour window, and flags it if the sign-in's country doesn't match Cloudora's normal baseline (United Kingdom). A 6-hour threshold is chosen because in this incident both attacker logins followed their respective clicks by under 4 hours — wide enough to catch a same-day credential reuse, tight enough to stay meaningfully correlated to the click rather than matching unrelated later activity. Deployed as a standing rule, this would have flagged Freya's compromise at 10:34, roughly four and a quarter hours before the phish was actually reported and over five hours before this investigation began.</w:t>
      </w:r>
    </w:p>
    <w:p>
      <w:pPr>
        <w:pStyle w:val="Heading1"/>
        <w:pBdr>
          <w:bottom w:val="single" w:color="1F3864" w:sz="6" w:space="4"/>
        </w:pBdr>
        <w:spacing w:after="200" w:before="480"/>
      </w:pPr>
      <w:r>
        <w:rPr>
          <w:rFonts w:ascii="Times New Roman" w:cs="Times New Roman" w:eastAsia="Times New Roman" w:hAnsi="Times New Roman"/>
          <w:b/>
          <w:bCs/>
          <w:color w:val="1F3864"/>
          <w:sz w:val="30"/>
          <w:szCs w:val="30"/>
        </w:rPr>
        <w:t xml:space="preserve">9. Containment Actions</w:t>
      </w:r>
    </w:p>
    <w:p>
      <w:pPr>
        <w:pStyle w:val="ListParagraph"/>
        <w:numPr>
          <w:ilvl w:val="0"/>
          <w:numId w:val="3"/>
        </w:numPr>
        <w:spacing w:after="90"/>
      </w:pPr>
      <w:r>
        <w:rPr>
          <w:rFonts w:ascii="Times New Roman" w:cs="Times New Roman" w:eastAsia="Times New Roman" w:hAnsi="Times New Roman"/>
          <w:color w:val="404040"/>
          <w:sz w:val="22"/>
          <w:szCs w:val="22"/>
        </w:rPr>
        <w:t xml:space="preserve">Revoked all active sessions and refresh tokens for freya.lynn@cloudora.io and ryan.boyd@cloudora.io — done first, since a password reset alone leaves an existing attacker session alive.</w:t>
      </w:r>
    </w:p>
    <w:p>
      <w:pPr>
        <w:pStyle w:val="ListParagraph"/>
        <w:numPr>
          <w:ilvl w:val="0"/>
          <w:numId w:val="3"/>
        </w:numPr>
        <w:spacing w:after="90"/>
      </w:pPr>
      <w:r>
        <w:rPr>
          <w:rFonts w:ascii="Times New Roman" w:cs="Times New Roman" w:eastAsia="Times New Roman" w:hAnsi="Times New Roman"/>
          <w:color w:val="404040"/>
          <w:sz w:val="22"/>
          <w:szCs w:val="22"/>
        </w:rPr>
        <w:t xml:space="preserve">Force-reset credentials for both compromised accounts.</w:t>
      </w:r>
    </w:p>
    <w:p>
      <w:pPr>
        <w:pStyle w:val="ListParagraph"/>
        <w:numPr>
          <w:ilvl w:val="0"/>
          <w:numId w:val="3"/>
        </w:numPr>
        <w:spacing w:after="90"/>
      </w:pPr>
      <w:r>
        <w:rPr>
          <w:rFonts w:ascii="Times New Roman" w:cs="Times New Roman" w:eastAsia="Times New Roman" w:hAnsi="Times New Roman"/>
          <w:color w:val="404040"/>
          <w:sz w:val="22"/>
          <w:szCs w:val="22"/>
        </w:rPr>
        <w:t xml:space="preserve">Required and re-registered MFA on both accounts — both fell to a password alone, so MFA is the control that stops a harvested password being sufficient next time.</w:t>
      </w:r>
    </w:p>
    <w:p>
      <w:pPr>
        <w:pStyle w:val="ListParagraph"/>
        <w:numPr>
          <w:ilvl w:val="0"/>
          <w:numId w:val="3"/>
        </w:numPr>
        <w:spacing w:after="90"/>
      </w:pPr>
      <w:r>
        <w:rPr>
          <w:rFonts w:ascii="Times New Roman" w:cs="Times New Roman" w:eastAsia="Times New Roman" w:hAnsi="Times New Roman"/>
          <w:color w:val="404040"/>
          <w:sz w:val="22"/>
          <w:szCs w:val="22"/>
        </w:rPr>
        <w:t xml:space="preserve">Blocked the attacker infrastructure at the mail gateway and web proxy: sending relays 198.18.44.10, 198.18.44.23, 198.18.51.7; login IP 198.18.7.200; and the domain cloudora-hr-portal.example and its subdomains.</w:t>
      </w:r>
    </w:p>
    <w:p>
      <w:pPr>
        <w:pStyle w:val="ListParagraph"/>
        <w:numPr>
          <w:ilvl w:val="0"/>
          <w:numId w:val="3"/>
        </w:numPr>
        <w:spacing w:after="90"/>
      </w:pPr>
      <w:r>
        <w:rPr>
          <w:rFonts w:ascii="Times New Roman" w:cs="Times New Roman" w:eastAsia="Times New Roman" w:hAnsi="Times New Roman"/>
          <w:color w:val="404040"/>
          <w:sz w:val="22"/>
          <w:szCs w:val="22"/>
        </w:rPr>
        <w:t xml:space="preserve">Purged the delivered phishing messages from every remaining mailbox (zero-hour auto purge / soft delete).</w:t>
      </w:r>
    </w:p>
    <w:p>
      <w:pPr>
        <w:pStyle w:val="ListParagraph"/>
        <w:numPr>
          <w:ilvl w:val="0"/>
          <w:numId w:val="3"/>
        </w:numPr>
        <w:spacing w:after="90"/>
      </w:pPr>
      <w:r>
        <w:rPr>
          <w:rFonts w:ascii="Times New Roman" w:cs="Times New Roman" w:eastAsia="Times New Roman" w:hAnsi="Times New Roman"/>
          <w:color w:val="404040"/>
          <w:sz w:val="22"/>
          <w:szCs w:val="22"/>
        </w:rPr>
        <w:t xml:space="preserve">Issued a precautionary password reset to the four accounts that clicked but did not submit credentials.</w:t>
      </w:r>
    </w:p>
    <w:p>
      <w:pPr>
        <w:pStyle w:val="ListParagraph"/>
        <w:numPr>
          <w:ilvl w:val="0"/>
          <w:numId w:val="3"/>
        </w:numPr>
        <w:spacing w:after="90"/>
      </w:pPr>
      <w:r>
        <w:rPr>
          <w:rFonts w:ascii="Times New Roman" w:cs="Times New Roman" w:eastAsia="Times New Roman" w:hAnsi="Times New Roman"/>
          <w:color w:val="404040"/>
          <w:sz w:val="22"/>
          <w:szCs w:val="22"/>
        </w:rPr>
        <w:t xml:space="preserve">Re-ran the credential-submitter sign-in query and the attacker-IP pivot after containment; confirmed no further activity from 198.18.7.200 or the sending infrastructure.</w:t>
      </w:r>
    </w:p>
    <w:p>
      <w:pPr>
        <w:pStyle w:val="Heading1"/>
        <w:pBdr>
          <w:bottom w:val="single" w:color="1F3864" w:sz="6" w:space="4"/>
        </w:pBdr>
        <w:spacing w:after="200" w:before="480"/>
      </w:pPr>
      <w:r>
        <w:rPr>
          <w:rFonts w:ascii="Times New Roman" w:cs="Times New Roman" w:eastAsia="Times New Roman" w:hAnsi="Times New Roman"/>
          <w:b/>
          <w:bCs/>
          <w:color w:val="1F3864"/>
          <w:sz w:val="30"/>
          <w:szCs w:val="30"/>
        </w:rPr>
        <w:t xml:space="preserve">10. Root Cause Analysis</w:t>
      </w:r>
    </w:p>
    <w:p>
      <w:pPr>
        <w:spacing w:after="160" w:line="276"/>
        <w:jc w:val="both"/>
      </w:pPr>
      <w:r>
        <w:rPr>
          <w:rFonts w:ascii="Times New Roman" w:cs="Times New Roman" w:eastAsia="Times New Roman" w:hAnsi="Times New Roman"/>
          <w:color w:val="404040"/>
          <w:sz w:val="22"/>
          <w:szCs w:val="22"/>
        </w:rPr>
        <w:t xml:space="preserve">The root cause was two staff members entering their credentials into a convincing lookalike payroll portal, following a well-crafted campaign that combined urgency (‘before 5pm’), brand impersonation, and — for Variant B — technically valid authentication for the attacker's own domain, which would not have raised any automated red flag based on SPF/DKIM/DMARC alone. A contributing factor was that Exchange Online Protection could only catch the fail-authentication Variant A; Variant B's legitimately-passing authentication let all 21 of its copies straight through, which is why 21 of the 36 delivered messages came from the harder-to-catch variant. There was no standing detection correlating a phishing click to a subsequent sign-in, so the compromise was only caught because a staff member reported the email — not through automated detection — roughly two hours after the attacker had already used the first stolen credential.</w:t>
      </w:r>
    </w:p>
    <w:p>
      <w:pPr>
        <w:pStyle w:val="Heading1"/>
        <w:pBdr>
          <w:bottom w:val="single" w:color="1F3864" w:sz="6" w:space="4"/>
        </w:pBdr>
        <w:spacing w:after="200" w:before="480"/>
      </w:pPr>
      <w:r>
        <w:rPr>
          <w:rFonts w:ascii="Times New Roman" w:cs="Times New Roman" w:eastAsia="Times New Roman" w:hAnsi="Times New Roman"/>
          <w:b/>
          <w:bCs/>
          <w:color w:val="1F3864"/>
          <w:sz w:val="30"/>
          <w:szCs w:val="30"/>
        </w:rPr>
        <w:t xml:space="preserve">11. Impact Assessment</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2496"/>
        <w:gridCol w:w="7104"/>
      </w:tblGrid>
      <w:tr>
        <w:trPr>
          <w:tblHeader/>
        </w:trPr>
        <w:tc>
          <w:tcPr>
            <w:tcW w:type="pct" w:w="26%"/>
            <w:tcBorders>
              <w:top w:val="single" w:color="1F3864" w:sz="4"/>
              <w:left w:val="single" w:color="1F3864" w:sz="4"/>
              <w:bottom w:val="single" w:color="1F3864" w:sz="4"/>
              <w:right w:val="single" w:color="1F3864" w:sz="4"/>
            </w:tcBorders>
            <w:shd w:fill="1F3864" w:val="clear"/>
            <w:tcMar>
              <w:top w:type="dxa" w:w="90"/>
              <w:left w:type="dxa" w:w="110"/>
              <w:bottom w:type="dxa" w:w="90"/>
              <w:right w:type="dxa" w:w="110"/>
            </w:tcMar>
            <w:vAlign w:val="center"/>
          </w:tcPr>
          <w:p>
            <w:r>
              <w:rPr>
                <w:rFonts w:ascii="Times New Roman" w:cs="Times New Roman" w:eastAsia="Times New Roman" w:hAnsi="Times New Roman"/>
                <w:b/>
                <w:bCs/>
                <w:color w:val="FFFFFF"/>
                <w:sz w:val="19"/>
                <w:szCs w:val="19"/>
              </w:rPr>
              <w:t xml:space="preserve">Area</w:t>
            </w:r>
          </w:p>
        </w:tc>
        <w:tc>
          <w:tcPr>
            <w:tcW w:type="pct" w:w="74%"/>
            <w:tcBorders>
              <w:top w:val="single" w:color="1F3864" w:sz="4"/>
              <w:left w:val="single" w:color="1F3864" w:sz="4"/>
              <w:bottom w:val="single" w:color="1F3864" w:sz="4"/>
              <w:right w:val="single" w:color="1F3864" w:sz="4"/>
            </w:tcBorders>
            <w:shd w:fill="1F3864" w:val="clear"/>
            <w:tcMar>
              <w:top w:type="dxa" w:w="90"/>
              <w:left w:type="dxa" w:w="110"/>
              <w:bottom w:type="dxa" w:w="90"/>
              <w:right w:type="dxa" w:w="110"/>
            </w:tcMar>
            <w:vAlign w:val="center"/>
          </w:tcPr>
          <w:p>
            <w:r>
              <w:rPr>
                <w:rFonts w:ascii="Times New Roman" w:cs="Times New Roman" w:eastAsia="Times New Roman" w:hAnsi="Times New Roman"/>
                <w:b/>
                <w:bCs/>
                <w:color w:val="FFFFFF"/>
                <w:sz w:val="19"/>
                <w:szCs w:val="19"/>
              </w:rPr>
              <w:t xml:space="preserve">Assessment</w:t>
            </w:r>
          </w:p>
        </w:tc>
      </w:tr>
      <w:tr>
        <w:tc>
          <w:tcPr>
            <w:tcW w:type="pct" w:w="26%"/>
            <w:tcBorders>
              <w:top w:val="single" w:color="BFBFBF" w:sz="4"/>
              <w:left w:val="single" w:color="BFBFBF" w:sz="4"/>
              <w:bottom w:val="single" w:color="BFBFBF" w:sz="4"/>
              <w:right w:val="single" w:color="BFBFBF" w:sz="4"/>
            </w:tcBorders>
            <w:shd w:fill="FFFFFF" w:val="clear"/>
            <w:tcMar>
              <w:top w:type="dxa" w:w="80"/>
              <w:left w:type="dxa" w:w="110"/>
              <w:bottom w:type="dxa" w:w="80"/>
              <w:right w:type="dxa" w:w="110"/>
            </w:tcMar>
            <w:vAlign w:val="center"/>
          </w:tcPr>
          <w:p>
            <w:r>
              <w:rPr>
                <w:rFonts w:ascii="Times New Roman" w:cs="Times New Roman" w:eastAsia="Times New Roman" w:hAnsi="Times New Roman"/>
                <w:b w:val="false"/>
                <w:bCs w:val="false"/>
                <w:color w:val="404040"/>
                <w:sz w:val="19"/>
                <w:szCs w:val="19"/>
              </w:rPr>
              <w:t xml:space="preserve">Confidentiality</w:t>
            </w:r>
          </w:p>
        </w:tc>
        <w:tc>
          <w:tcPr>
            <w:tcW w:type="pct" w:w="74%"/>
            <w:tcBorders>
              <w:top w:val="single" w:color="BFBFBF" w:sz="4"/>
              <w:left w:val="single" w:color="BFBFBF" w:sz="4"/>
              <w:bottom w:val="single" w:color="BFBFBF" w:sz="4"/>
              <w:right w:val="single" w:color="BFBFBF" w:sz="4"/>
            </w:tcBorders>
            <w:shd w:fill="FFFFFF" w:val="clear"/>
            <w:tcMar>
              <w:top w:type="dxa" w:w="80"/>
              <w:left w:type="dxa" w:w="110"/>
              <w:bottom w:type="dxa" w:w="80"/>
              <w:right w:type="dxa" w:w="110"/>
            </w:tcMar>
            <w:vAlign w:val="center"/>
          </w:tcPr>
          <w:p>
            <w:r>
              <w:rPr>
                <w:rFonts w:ascii="Times New Roman" w:cs="Times New Roman" w:eastAsia="Times New Roman" w:hAnsi="Times New Roman"/>
                <w:b w:val="false"/>
                <w:bCs w:val="false"/>
                <w:color w:val="404040"/>
                <w:sz w:val="19"/>
                <w:szCs w:val="19"/>
              </w:rPr>
              <w:t xml:space="preserve">Attacker had Outlook Web access on both accounts, and SharePoint access on Freya's, for up to ~3.5 hours before containment</w:t>
            </w:r>
          </w:p>
        </w:tc>
      </w:tr>
      <w:tr>
        <w:tc>
          <w:tcPr>
            <w:tcW w:type="pct" w:w="26%"/>
            <w:tcBorders>
              <w:top w:val="single" w:color="BFBFBF" w:sz="4"/>
              <w:left w:val="single" w:color="BFBFBF" w:sz="4"/>
              <w:bottom w:val="single" w:color="BFBFBF" w:sz="4"/>
              <w:right w:val="single" w:color="BFBFBF" w:sz="4"/>
            </w:tcBorders>
            <w:shd w:fill="F7F9FC" w:val="clear"/>
            <w:tcMar>
              <w:top w:type="dxa" w:w="80"/>
              <w:left w:type="dxa" w:w="110"/>
              <w:bottom w:type="dxa" w:w="80"/>
              <w:right w:type="dxa" w:w="110"/>
            </w:tcMar>
            <w:vAlign w:val="center"/>
          </w:tcPr>
          <w:p>
            <w:r>
              <w:rPr>
                <w:rFonts w:ascii="Times New Roman" w:cs="Times New Roman" w:eastAsia="Times New Roman" w:hAnsi="Times New Roman"/>
                <w:b w:val="false"/>
                <w:bCs w:val="false"/>
                <w:color w:val="404040"/>
                <w:sz w:val="19"/>
                <w:szCs w:val="19"/>
              </w:rPr>
              <w:t xml:space="preserve">Integrity</w:t>
            </w:r>
          </w:p>
        </w:tc>
        <w:tc>
          <w:tcPr>
            <w:tcW w:type="pct" w:w="74%"/>
            <w:tcBorders>
              <w:top w:val="single" w:color="BFBFBF" w:sz="4"/>
              <w:left w:val="single" w:color="BFBFBF" w:sz="4"/>
              <w:bottom w:val="single" w:color="BFBFBF" w:sz="4"/>
              <w:right w:val="single" w:color="BFBFBF" w:sz="4"/>
            </w:tcBorders>
            <w:shd w:fill="F7F9FC" w:val="clear"/>
            <w:tcMar>
              <w:top w:type="dxa" w:w="80"/>
              <w:left w:type="dxa" w:w="110"/>
              <w:bottom w:type="dxa" w:w="80"/>
              <w:right w:type="dxa" w:w="110"/>
            </w:tcMar>
            <w:vAlign w:val="center"/>
          </w:tcPr>
          <w:p>
            <w:r>
              <w:rPr>
                <w:rFonts w:ascii="Times New Roman" w:cs="Times New Roman" w:eastAsia="Times New Roman" w:hAnsi="Times New Roman"/>
                <w:b w:val="false"/>
                <w:bCs w:val="false"/>
                <w:color w:val="404040"/>
                <w:sz w:val="19"/>
                <w:szCs w:val="19"/>
              </w:rPr>
              <w:t xml:space="preserve">No evidence of altered records, forwarding rules, or other configuration changes in the available log data</w:t>
            </w:r>
          </w:p>
        </w:tc>
      </w:tr>
      <w:tr>
        <w:tc>
          <w:tcPr>
            <w:tcW w:type="pct" w:w="26%"/>
            <w:tcBorders>
              <w:top w:val="single" w:color="BFBFBF" w:sz="4"/>
              <w:left w:val="single" w:color="BFBFBF" w:sz="4"/>
              <w:bottom w:val="single" w:color="BFBFBF" w:sz="4"/>
              <w:right w:val="single" w:color="BFBFBF" w:sz="4"/>
            </w:tcBorders>
            <w:shd w:fill="FFFFFF" w:val="clear"/>
            <w:tcMar>
              <w:top w:type="dxa" w:w="80"/>
              <w:left w:type="dxa" w:w="110"/>
              <w:bottom w:type="dxa" w:w="80"/>
              <w:right w:type="dxa" w:w="110"/>
            </w:tcMar>
            <w:vAlign w:val="center"/>
          </w:tcPr>
          <w:p>
            <w:r>
              <w:rPr>
                <w:rFonts w:ascii="Times New Roman" w:cs="Times New Roman" w:eastAsia="Times New Roman" w:hAnsi="Times New Roman"/>
                <w:b w:val="false"/>
                <w:bCs w:val="false"/>
                <w:color w:val="404040"/>
                <w:sz w:val="19"/>
                <w:szCs w:val="19"/>
              </w:rPr>
              <w:t xml:space="preserve">Availability</w:t>
            </w:r>
          </w:p>
        </w:tc>
        <w:tc>
          <w:tcPr>
            <w:tcW w:type="pct" w:w="74%"/>
            <w:tcBorders>
              <w:top w:val="single" w:color="BFBFBF" w:sz="4"/>
              <w:left w:val="single" w:color="BFBFBF" w:sz="4"/>
              <w:bottom w:val="single" w:color="BFBFBF" w:sz="4"/>
              <w:right w:val="single" w:color="BFBFBF" w:sz="4"/>
            </w:tcBorders>
            <w:shd w:fill="FFFFFF" w:val="clear"/>
            <w:tcMar>
              <w:top w:type="dxa" w:w="80"/>
              <w:left w:type="dxa" w:w="110"/>
              <w:bottom w:type="dxa" w:w="80"/>
              <w:right w:type="dxa" w:w="110"/>
            </w:tcMar>
            <w:vAlign w:val="center"/>
          </w:tcPr>
          <w:p>
            <w:r>
              <w:rPr>
                <w:rFonts w:ascii="Times New Roman" w:cs="Times New Roman" w:eastAsia="Times New Roman" w:hAnsi="Times New Roman"/>
                <w:b w:val="false"/>
                <w:bCs w:val="false"/>
                <w:color w:val="404040"/>
                <w:sz w:val="19"/>
                <w:szCs w:val="19"/>
              </w:rPr>
              <w:t xml:space="preserve">No disruption to Cloudora services</w:t>
            </w:r>
          </w:p>
        </w:tc>
      </w:tr>
      <w:tr>
        <w:tc>
          <w:tcPr>
            <w:tcW w:type="pct" w:w="26%"/>
            <w:tcBorders>
              <w:top w:val="single" w:color="BFBFBF" w:sz="4"/>
              <w:left w:val="single" w:color="BFBFBF" w:sz="4"/>
              <w:bottom w:val="single" w:color="BFBFBF" w:sz="4"/>
              <w:right w:val="single" w:color="BFBFBF" w:sz="4"/>
            </w:tcBorders>
            <w:shd w:fill="F7F9FC" w:val="clear"/>
            <w:tcMar>
              <w:top w:type="dxa" w:w="80"/>
              <w:left w:type="dxa" w:w="110"/>
              <w:bottom w:type="dxa" w:w="80"/>
              <w:right w:type="dxa" w:w="110"/>
            </w:tcMar>
            <w:vAlign w:val="center"/>
          </w:tcPr>
          <w:p>
            <w:r>
              <w:rPr>
                <w:rFonts w:ascii="Times New Roman" w:cs="Times New Roman" w:eastAsia="Times New Roman" w:hAnsi="Times New Roman"/>
                <w:b w:val="false"/>
                <w:bCs w:val="false"/>
                <w:color w:val="404040"/>
                <w:sz w:val="19"/>
                <w:szCs w:val="19"/>
              </w:rPr>
              <w:t xml:space="preserve">Financial</w:t>
            </w:r>
          </w:p>
        </w:tc>
        <w:tc>
          <w:tcPr>
            <w:tcW w:type="pct" w:w="74%"/>
            <w:tcBorders>
              <w:top w:val="single" w:color="BFBFBF" w:sz="4"/>
              <w:left w:val="single" w:color="BFBFBF" w:sz="4"/>
              <w:bottom w:val="single" w:color="BFBFBF" w:sz="4"/>
              <w:right w:val="single" w:color="BFBFBF" w:sz="4"/>
            </w:tcBorders>
            <w:shd w:fill="F7F9FC" w:val="clear"/>
            <w:tcMar>
              <w:top w:type="dxa" w:w="80"/>
              <w:left w:type="dxa" w:w="110"/>
              <w:bottom w:type="dxa" w:w="80"/>
              <w:right w:type="dxa" w:w="110"/>
            </w:tcMar>
            <w:vAlign w:val="center"/>
          </w:tcPr>
          <w:p>
            <w:r>
              <w:rPr>
                <w:rFonts w:ascii="Times New Roman" w:cs="Times New Roman" w:eastAsia="Times New Roman" w:hAnsi="Times New Roman"/>
                <w:b w:val="false"/>
                <w:bCs w:val="false"/>
                <w:color w:val="404040"/>
                <w:sz w:val="19"/>
                <w:szCs w:val="19"/>
              </w:rPr>
              <w:t xml:space="preserve">No confirmed fraudulent payment identified; this was a credential-harvesting campaign without an observed BEC follow-through in the available data</w:t>
            </w:r>
          </w:p>
        </w:tc>
      </w:tr>
      <w:tr>
        <w:tc>
          <w:tcPr>
            <w:tcW w:type="pct" w:w="26%"/>
            <w:tcBorders>
              <w:top w:val="single" w:color="BFBFBF" w:sz="4"/>
              <w:left w:val="single" w:color="BFBFBF" w:sz="4"/>
              <w:bottom w:val="single" w:color="BFBFBF" w:sz="4"/>
              <w:right w:val="single" w:color="BFBFBF" w:sz="4"/>
            </w:tcBorders>
            <w:shd w:fill="FFFFFF" w:val="clear"/>
            <w:tcMar>
              <w:top w:type="dxa" w:w="80"/>
              <w:left w:type="dxa" w:w="110"/>
              <w:bottom w:type="dxa" w:w="80"/>
              <w:right w:type="dxa" w:w="110"/>
            </w:tcMar>
            <w:vAlign w:val="center"/>
          </w:tcPr>
          <w:p>
            <w:r>
              <w:rPr>
                <w:rFonts w:ascii="Times New Roman" w:cs="Times New Roman" w:eastAsia="Times New Roman" w:hAnsi="Times New Roman"/>
                <w:b w:val="false"/>
                <w:bCs w:val="false"/>
                <w:color w:val="404040"/>
                <w:sz w:val="19"/>
                <w:szCs w:val="19"/>
              </w:rPr>
              <w:t xml:space="preserve">Reputational</w:t>
            </w:r>
          </w:p>
        </w:tc>
        <w:tc>
          <w:tcPr>
            <w:tcW w:type="pct" w:w="74%"/>
            <w:tcBorders>
              <w:top w:val="single" w:color="BFBFBF" w:sz="4"/>
              <w:left w:val="single" w:color="BFBFBF" w:sz="4"/>
              <w:bottom w:val="single" w:color="BFBFBF" w:sz="4"/>
              <w:right w:val="single" w:color="BFBFBF" w:sz="4"/>
            </w:tcBorders>
            <w:shd w:fill="FFFFFF" w:val="clear"/>
            <w:tcMar>
              <w:top w:type="dxa" w:w="80"/>
              <w:left w:type="dxa" w:w="110"/>
              <w:bottom w:type="dxa" w:w="80"/>
              <w:right w:type="dxa" w:w="110"/>
            </w:tcMar>
            <w:vAlign w:val="center"/>
          </w:tcPr>
          <w:p>
            <w:r>
              <w:rPr>
                <w:rFonts w:ascii="Times New Roman" w:cs="Times New Roman" w:eastAsia="Times New Roman" w:hAnsi="Times New Roman"/>
                <w:b w:val="false"/>
                <w:bCs w:val="false"/>
                <w:color w:val="404040"/>
                <w:sz w:val="19"/>
                <w:szCs w:val="19"/>
              </w:rPr>
              <w:t xml:space="preserve">Limited — caught and contained the same morning following staff reporting, before any external communications were sent from either account, based on available data</w:t>
            </w:r>
          </w:p>
        </w:tc>
      </w:tr>
      <w:tr>
        <w:tc>
          <w:tcPr>
            <w:tcW w:type="pct" w:w="26%"/>
            <w:tcBorders>
              <w:top w:val="single" w:color="BFBFBF" w:sz="4"/>
              <w:left w:val="single" w:color="BFBFBF" w:sz="4"/>
              <w:bottom w:val="single" w:color="BFBFBF" w:sz="4"/>
              <w:right w:val="single" w:color="BFBFBF" w:sz="4"/>
            </w:tcBorders>
            <w:shd w:fill="F7F9FC" w:val="clear"/>
            <w:tcMar>
              <w:top w:type="dxa" w:w="80"/>
              <w:left w:type="dxa" w:w="110"/>
              <w:bottom w:type="dxa" w:w="80"/>
              <w:right w:type="dxa" w:w="110"/>
            </w:tcMar>
            <w:vAlign w:val="center"/>
          </w:tcPr>
          <w:p>
            <w:r>
              <w:rPr>
                <w:rFonts w:ascii="Times New Roman" w:cs="Times New Roman" w:eastAsia="Times New Roman" w:hAnsi="Times New Roman"/>
                <w:b w:val="false"/>
                <w:bCs w:val="false"/>
                <w:color w:val="404040"/>
                <w:sz w:val="19"/>
                <w:szCs w:val="19"/>
              </w:rPr>
              <w:t xml:space="preserve">Workforce</w:t>
            </w:r>
          </w:p>
        </w:tc>
        <w:tc>
          <w:tcPr>
            <w:tcW w:type="pct" w:w="74%"/>
            <w:tcBorders>
              <w:top w:val="single" w:color="BFBFBF" w:sz="4"/>
              <w:left w:val="single" w:color="BFBFBF" w:sz="4"/>
              <w:bottom w:val="single" w:color="BFBFBF" w:sz="4"/>
              <w:right w:val="single" w:color="BFBFBF" w:sz="4"/>
            </w:tcBorders>
            <w:shd w:fill="F7F9FC" w:val="clear"/>
            <w:tcMar>
              <w:top w:type="dxa" w:w="80"/>
              <w:left w:type="dxa" w:w="110"/>
              <w:bottom w:type="dxa" w:w="80"/>
              <w:right w:type="dxa" w:w="110"/>
            </w:tcMar>
            <w:vAlign w:val="center"/>
          </w:tcPr>
          <w:p>
            <w:r>
              <w:rPr>
                <w:rFonts w:ascii="Times New Roman" w:cs="Times New Roman" w:eastAsia="Times New Roman" w:hAnsi="Times New Roman"/>
                <w:b w:val="false"/>
                <w:bCs w:val="false"/>
                <w:color w:val="404040"/>
                <w:sz w:val="19"/>
                <w:szCs w:val="19"/>
              </w:rPr>
              <w:t xml:space="preserve">6 staff directly affected (2 compromised, 4 elevated-risk); 34 further staff required awareness or reassurance communication</w:t>
            </w:r>
          </w:p>
        </w:tc>
      </w:tr>
    </w:tbl>
    <w:p>
      <w:pPr>
        <w:pStyle w:val="Heading1"/>
        <w:pBdr>
          <w:bottom w:val="single" w:color="1F3864" w:sz="6" w:space="4"/>
        </w:pBdr>
        <w:spacing w:after="200" w:before="480"/>
      </w:pPr>
      <w:r>
        <w:rPr>
          <w:rFonts w:ascii="Times New Roman" w:cs="Times New Roman" w:eastAsia="Times New Roman" w:hAnsi="Times New Roman"/>
          <w:b/>
          <w:bCs/>
          <w:color w:val="1F3864"/>
          <w:sz w:val="30"/>
          <w:szCs w:val="30"/>
        </w:rPr>
        <w:t xml:space="preserve">12. Lessons Learned</w:t>
      </w:r>
    </w:p>
    <w:p>
      <w:pPr>
        <w:pStyle w:val="ListParagraph"/>
        <w:numPr>
          <w:ilvl w:val="0"/>
          <w:numId w:val="3"/>
        </w:numPr>
        <w:spacing w:after="90"/>
      </w:pPr>
      <w:r>
        <w:rPr>
          <w:rFonts w:ascii="Times New Roman" w:cs="Times New Roman" w:eastAsia="Times New Roman" w:hAnsi="Times New Roman"/>
          <w:color w:val="404040"/>
          <w:sz w:val="22"/>
          <w:szCs w:val="22"/>
        </w:rPr>
        <w:t xml:space="preserve">‘Passed authentication’ is not a synonym for ‘safe’ — Variant B's passing SPF/DKIM/DMARC for its own lookalike domain is the clearest evidence in this incident that the analyst must always ask ‘passed for which domain’, not just ‘did it pass’.</w:t>
      </w:r>
    </w:p>
    <w:p>
      <w:pPr>
        <w:pStyle w:val="ListParagraph"/>
        <w:numPr>
          <w:ilvl w:val="0"/>
          <w:numId w:val="3"/>
        </w:numPr>
        <w:spacing w:after="90"/>
      </w:pPr>
      <w:r>
        <w:rPr>
          <w:rFonts w:ascii="Times New Roman" w:cs="Times New Roman" w:eastAsia="Times New Roman" w:hAnsi="Times New Roman"/>
          <w:color w:val="404040"/>
          <w:sz w:val="22"/>
          <w:szCs w:val="22"/>
        </w:rPr>
        <w:t xml:space="preserve">The compromise was caught by a staff member reporting the email, not by automated detection — the new correlation rule in Section 8.3 closes that gap for future incidents.</w:t>
      </w:r>
    </w:p>
    <w:p>
      <w:pPr>
        <w:pStyle w:val="ListParagraph"/>
        <w:numPr>
          <w:ilvl w:val="0"/>
          <w:numId w:val="3"/>
        </w:numPr>
        <w:spacing w:after="90"/>
      </w:pPr>
      <w:r>
        <w:rPr>
          <w:rFonts w:ascii="Times New Roman" w:cs="Times New Roman" w:eastAsia="Times New Roman" w:hAnsi="Times New Roman"/>
          <w:color w:val="404040"/>
          <w:sz w:val="22"/>
          <w:szCs w:val="22"/>
        </w:rPr>
        <w:t xml:space="preserve">Pivoting on the attacker's login IP, rather than stopping at the first confirmed victim, is what surfaced the second compromised account; the same discipline that mattered in the CEO account-takeover investigation applies here.</w:t>
      </w:r>
    </w:p>
    <w:p>
      <w:pPr>
        <w:pStyle w:val="ListParagraph"/>
        <w:numPr>
          <w:ilvl w:val="0"/>
          <w:numId w:val="3"/>
        </w:numPr>
        <w:spacing w:after="90"/>
      </w:pPr>
      <w:r>
        <w:rPr>
          <w:rFonts w:ascii="Times New Roman" w:cs="Times New Roman" w:eastAsia="Times New Roman" w:hAnsi="Times New Roman"/>
          <w:color w:val="404040"/>
          <w:sz w:val="22"/>
          <w:szCs w:val="22"/>
        </w:rPr>
        <w:t xml:space="preserve">Sorting the affected population into the right tier (compromised / clicked-no-creds / near-miss / protected) kept the response proportionate — a blanket reset across all 40 targeted accounts would have been unnecessary and disruptive.</w:t>
      </w:r>
    </w:p>
    <w:p>
      <w:pPr>
        <w:pStyle w:val="Heading1"/>
        <w:pBdr>
          <w:bottom w:val="single" w:color="1F3864" w:sz="6" w:space="4"/>
        </w:pBdr>
        <w:spacing w:after="200" w:before="480"/>
      </w:pPr>
      <w:r>
        <w:rPr>
          <w:rFonts w:ascii="Times New Roman" w:cs="Times New Roman" w:eastAsia="Times New Roman" w:hAnsi="Times New Roman"/>
          <w:b/>
          <w:bCs/>
          <w:color w:val="1F3864"/>
          <w:sz w:val="30"/>
          <w:szCs w:val="30"/>
        </w:rPr>
        <w:t xml:space="preserve">13. Recommendations</w:t>
      </w:r>
    </w:p>
    <w:p>
      <w:pPr>
        <w:pStyle w:val="Heading2"/>
        <w:spacing w:after="140" w:before="320"/>
      </w:pPr>
      <w:r>
        <w:rPr>
          <w:rFonts w:ascii="Times New Roman" w:cs="Times New Roman" w:eastAsia="Times New Roman" w:hAnsi="Times New Roman"/>
          <w:b/>
          <w:bCs/>
          <w:color w:val="1F3864"/>
          <w:sz w:val="25"/>
          <w:szCs w:val="25"/>
        </w:rPr>
        <w:t xml:space="preserve">13.1 Detective controls</w:t>
      </w:r>
    </w:p>
    <w:p>
      <w:pPr>
        <w:pStyle w:val="ListParagraph"/>
        <w:numPr>
          <w:ilvl w:val="0"/>
          <w:numId w:val="3"/>
        </w:numPr>
        <w:spacing w:after="90"/>
      </w:pPr>
      <w:r>
        <w:rPr>
          <w:rFonts w:ascii="Times New Roman" w:cs="Times New Roman" w:eastAsia="Times New Roman" w:hAnsi="Times New Roman"/>
          <w:color w:val="404040"/>
          <w:sz w:val="22"/>
          <w:szCs w:val="22"/>
        </w:rPr>
        <w:t xml:space="preserve">Deploy the new-country-sign-in-after-click correlation rule in Section 8.3 as a standing Sentinel analytics rule.</w:t>
      </w:r>
    </w:p>
    <w:p>
      <w:pPr>
        <w:pStyle w:val="ListParagraph"/>
        <w:numPr>
          <w:ilvl w:val="0"/>
          <w:numId w:val="3"/>
        </w:numPr>
        <w:spacing w:after="90"/>
      </w:pPr>
      <w:r>
        <w:rPr>
          <w:rFonts w:ascii="Times New Roman" w:cs="Times New Roman" w:eastAsia="Times New Roman" w:hAnsi="Times New Roman"/>
          <w:color w:val="404040"/>
          <w:sz w:val="22"/>
          <w:szCs w:val="22"/>
        </w:rPr>
        <w:t xml:space="preserve">Alert on any successful sign-in immediately following a recorded credential submission on a tracked phishing/training link.</w:t>
      </w:r>
    </w:p>
    <w:p>
      <w:pPr>
        <w:pStyle w:val="ListParagraph"/>
        <w:numPr>
          <w:ilvl w:val="0"/>
          <w:numId w:val="3"/>
        </w:numPr>
        <w:spacing w:after="90"/>
      </w:pPr>
      <w:r>
        <w:rPr>
          <w:rFonts w:ascii="Times New Roman" w:cs="Times New Roman" w:eastAsia="Times New Roman" w:hAnsi="Times New Roman"/>
          <w:color w:val="404040"/>
          <w:sz w:val="22"/>
          <w:szCs w:val="22"/>
        </w:rPr>
        <w:t xml:space="preserve">Extend EOP detection to catch spoofed-brand lookalike domains registered close to the campaign date, not only failed SPF/DKIM/DMARC.</w:t>
      </w:r>
    </w:p>
    <w:p>
      <w:pPr>
        <w:pStyle w:val="Heading2"/>
        <w:spacing w:after="140" w:before="320"/>
      </w:pPr>
      <w:r>
        <w:rPr>
          <w:rFonts w:ascii="Times New Roman" w:cs="Times New Roman" w:eastAsia="Times New Roman" w:hAnsi="Times New Roman"/>
          <w:b/>
          <w:bCs/>
          <w:color w:val="1F3864"/>
          <w:sz w:val="25"/>
          <w:szCs w:val="25"/>
        </w:rPr>
        <w:t xml:space="preserve">13.2 Preventive controls</w:t>
      </w:r>
    </w:p>
    <w:p>
      <w:pPr>
        <w:pStyle w:val="ListParagraph"/>
        <w:numPr>
          <w:ilvl w:val="0"/>
          <w:numId w:val="3"/>
        </w:numPr>
        <w:spacing w:after="90"/>
      </w:pPr>
      <w:r>
        <w:rPr>
          <w:rFonts w:ascii="Times New Roman" w:cs="Times New Roman" w:eastAsia="Times New Roman" w:hAnsi="Times New Roman"/>
          <w:color w:val="404040"/>
          <w:sz w:val="22"/>
          <w:szCs w:val="22"/>
        </w:rPr>
        <w:t xml:space="preserve">Require phishing-resistant MFA (e.g. FIDO2 security keys) tenant-wide, so a harvested password alone is insufficient.</w:t>
      </w:r>
    </w:p>
    <w:p>
      <w:pPr>
        <w:pStyle w:val="ListParagraph"/>
        <w:numPr>
          <w:ilvl w:val="0"/>
          <w:numId w:val="3"/>
        </w:numPr>
        <w:spacing w:after="90"/>
      </w:pPr>
      <w:r>
        <w:rPr>
          <w:rFonts w:ascii="Times New Roman" w:cs="Times New Roman" w:eastAsia="Times New Roman" w:hAnsi="Times New Roman"/>
          <w:color w:val="404040"/>
          <w:sz w:val="22"/>
          <w:szCs w:val="22"/>
        </w:rPr>
        <w:t xml:space="preserve">Register lookalike-domain monitoring for cloudora.io variants (typosquats, hyphenated lookalikes) to catch infrastructure before a campaign launches.</w:t>
      </w:r>
    </w:p>
    <w:p>
      <w:pPr>
        <w:pStyle w:val="ListParagraph"/>
        <w:numPr>
          <w:ilvl w:val="0"/>
          <w:numId w:val="3"/>
        </w:numPr>
        <w:spacing w:after="90"/>
      </w:pPr>
      <w:r>
        <w:rPr>
          <w:rFonts w:ascii="Times New Roman" w:cs="Times New Roman" w:eastAsia="Times New Roman" w:hAnsi="Times New Roman"/>
          <w:color w:val="404040"/>
          <w:sz w:val="22"/>
          <w:szCs w:val="22"/>
        </w:rPr>
        <w:t xml:space="preserve">Apply Safe Links / URL rewriting so clicks on suspicious external links are intercepted before reaching a live credential-harvesting page.</w:t>
      </w:r>
    </w:p>
    <w:p>
      <w:pPr>
        <w:pStyle w:val="Heading2"/>
        <w:spacing w:after="140" w:before="320"/>
      </w:pPr>
      <w:r>
        <w:rPr>
          <w:rFonts w:ascii="Times New Roman" w:cs="Times New Roman" w:eastAsia="Times New Roman" w:hAnsi="Times New Roman"/>
          <w:b/>
          <w:bCs/>
          <w:color w:val="1F3864"/>
          <w:sz w:val="25"/>
          <w:szCs w:val="25"/>
        </w:rPr>
        <w:t xml:space="preserve">13.3 Organisational</w:t>
      </w:r>
    </w:p>
    <w:p>
      <w:pPr>
        <w:pStyle w:val="ListParagraph"/>
        <w:numPr>
          <w:ilvl w:val="0"/>
          <w:numId w:val="3"/>
        </w:numPr>
        <w:spacing w:after="90"/>
      </w:pPr>
      <w:r>
        <w:rPr>
          <w:rFonts w:ascii="Times New Roman" w:cs="Times New Roman" w:eastAsia="Times New Roman" w:hAnsi="Times New Roman"/>
          <w:color w:val="404040"/>
          <w:sz w:val="22"/>
          <w:szCs w:val="22"/>
        </w:rPr>
        <w:t xml:space="preserve">Send the near-miss and clicked-but-no-credentials communications drafted in Appendix C.</w:t>
      </w:r>
    </w:p>
    <w:p>
      <w:pPr>
        <w:pStyle w:val="ListParagraph"/>
        <w:numPr>
          <w:ilvl w:val="0"/>
          <w:numId w:val="3"/>
        </w:numPr>
        <w:spacing w:after="90"/>
      </w:pPr>
      <w:r>
        <w:rPr>
          <w:rFonts w:ascii="Times New Roman" w:cs="Times New Roman" w:eastAsia="Times New Roman" w:hAnsi="Times New Roman"/>
          <w:color w:val="404040"/>
          <w:sz w:val="22"/>
          <w:szCs w:val="22"/>
        </w:rPr>
        <w:t xml:space="preserve">Deliver targeted phishing-recognition training referencing this campaign's ‘pass ≠ safe’ lesson, focused on payroll and finance-themed lures specifically.</w:t>
      </w:r>
    </w:p>
    <w:p>
      <w:pPr>
        <w:pStyle w:val="ListParagraph"/>
        <w:numPr>
          <w:ilvl w:val="0"/>
          <w:numId w:val="3"/>
        </w:numPr>
        <w:spacing w:after="90"/>
      </w:pPr>
      <w:r>
        <w:rPr>
          <w:rFonts w:ascii="Times New Roman" w:cs="Times New Roman" w:eastAsia="Times New Roman" w:hAnsi="Times New Roman"/>
          <w:color w:val="404040"/>
          <w:sz w:val="22"/>
          <w:szCs w:val="22"/>
        </w:rPr>
        <w:t xml:space="preserve">Review the SLA for staff-reported phishing tickets — in this case, roughly two hours elapsed between the first credential theft and the report reaching the SOC.</w:t>
      </w:r>
    </w:p>
    <w:p>
      <w:r>
        <w:br w:type="page"/>
      </w:r>
    </w:p>
    <w:p>
      <w:pPr>
        <w:pStyle w:val="Heading1"/>
        <w:pBdr>
          <w:bottom w:val="single" w:color="1F3864" w:sz="6" w:space="4"/>
        </w:pBdr>
        <w:spacing w:after="200" w:before="480"/>
      </w:pPr>
      <w:r>
        <w:rPr>
          <w:rFonts w:ascii="Times New Roman" w:cs="Times New Roman" w:eastAsia="Times New Roman" w:hAnsi="Times New Roman"/>
          <w:b/>
          <w:bCs/>
          <w:color w:val="1F3864"/>
          <w:sz w:val="30"/>
          <w:szCs w:val="30"/>
        </w:rPr>
        <w:t xml:space="preserve">Appendix A — Full KQL Query Pack</w:t>
      </w:r>
    </w:p>
    <w:p>
      <w:pPr>
        <w:spacing w:after="160" w:line="276"/>
        <w:jc w:val="both"/>
      </w:pPr>
      <w:r>
        <w:rPr>
          <w:rFonts w:ascii="Times New Roman" w:cs="Times New Roman" w:eastAsia="Times New Roman" w:hAnsi="Times New Roman"/>
          <w:color w:val="404040"/>
          <w:sz w:val="22"/>
          <w:szCs w:val="22"/>
        </w:rPr>
        <w:t xml:space="preserve">Reproduced in full below for reference and reuse. Table names: CloudoraMsgTrace_CL, CloudoraSignIn_CL. All timestamps UTC.</w:t>
      </w:r>
    </w:p>
    <w:p>
      <w:pPr>
        <w:pStyle w:val="Heading2"/>
        <w:spacing w:after="140" w:before="320"/>
      </w:pPr>
      <w:r>
        <w:rPr>
          <w:rFonts w:ascii="Times New Roman" w:cs="Times New Roman" w:eastAsia="Times New Roman" w:hAnsi="Times New Roman"/>
          <w:b/>
          <w:bCs/>
          <w:color w:val="1F3864"/>
          <w:sz w:val="25"/>
          <w:szCs w:val="25"/>
        </w:rPr>
        <w:t xml:space="preserve">A.1 Sanity check</w:t>
      </w:r>
    </w:p>
    <w:p>
      <w:pPr>
        <w:spacing w:after="0"/>
      </w:pPr>
      <w:r>
        <w:rPr>
          <w:rFonts w:ascii="Courier New" w:cs="Courier New" w:eastAsia="Courier New" w:hAnsi="Courier New"/>
          <w:color w:val="1B1B1B"/>
          <w:sz w:val="18"/>
          <w:szCs w:val="18"/>
        </w:rPr>
        <w:t xml:space="preserve">CloudoraMsgTrace_CL</w:t>
      </w:r>
    </w:p>
    <w:p>
      <w:pPr>
        <w:spacing w:after="0"/>
      </w:pPr>
      <w:r>
        <w:rPr>
          <w:rFonts w:ascii="Courier New" w:cs="Courier New" w:eastAsia="Courier New" w:hAnsi="Courier New"/>
          <w:color w:val="1B1B1B"/>
          <w:sz w:val="18"/>
          <w:szCs w:val="18"/>
        </w:rPr>
        <w:t xml:space="preserve">| count</w:t>
      </w:r>
    </w:p>
    <w:p>
      <w:pPr>
        <w:spacing w:after="60"/>
      </w:pPr>
    </w:p>
    <w:p>
      <w:pPr>
        <w:spacing w:after="0"/>
      </w:pPr>
      <w:r>
        <w:rPr>
          <w:rFonts w:ascii="Courier New" w:cs="Courier New" w:eastAsia="Courier New" w:hAnsi="Courier New"/>
          <w:color w:val="1B1B1B"/>
          <w:sz w:val="18"/>
          <w:szCs w:val="18"/>
        </w:rPr>
        <w:t xml:space="preserve">CloudoraSignIn_CL</w:t>
      </w:r>
    </w:p>
    <w:p>
      <w:pPr>
        <w:spacing w:after="0"/>
      </w:pPr>
      <w:r>
        <w:rPr>
          <w:rFonts w:ascii="Courier New" w:cs="Courier New" w:eastAsia="Courier New" w:hAnsi="Courier New"/>
          <w:color w:val="1B1B1B"/>
          <w:sz w:val="18"/>
          <w:szCs w:val="18"/>
        </w:rPr>
        <w:t xml:space="preserve">| count</w:t>
      </w:r>
    </w:p>
    <w:p>
      <w:pPr>
        <w:spacing w:after="160"/>
      </w:pPr>
    </w:p>
    <w:p>
      <w:pPr>
        <w:pStyle w:val="Heading2"/>
        <w:spacing w:after="140" w:before="320"/>
      </w:pPr>
      <w:r>
        <w:rPr>
          <w:rFonts w:ascii="Times New Roman" w:cs="Times New Roman" w:eastAsia="Times New Roman" w:hAnsi="Times New Roman"/>
          <w:b/>
          <w:bCs/>
          <w:color w:val="1F3864"/>
          <w:sz w:val="25"/>
          <w:szCs w:val="25"/>
        </w:rPr>
        <w:t xml:space="preserve">A.2 Campaign scope — what landed, from where, did it pass auth</w:t>
      </w:r>
    </w:p>
    <w:p>
      <w:pPr>
        <w:spacing w:after="0"/>
      </w:pPr>
      <w:r>
        <w:rPr>
          <w:rFonts w:ascii="Courier New" w:cs="Courier New" w:eastAsia="Courier New" w:hAnsi="Courier New"/>
          <w:color w:val="1B1B1B"/>
          <w:sz w:val="18"/>
          <w:szCs w:val="18"/>
        </w:rPr>
        <w:t xml:space="preserve">CloudoraMsgTrace_CL</w:t>
      </w:r>
    </w:p>
    <w:p>
      <w:pPr>
        <w:spacing w:after="0"/>
      </w:pPr>
      <w:r>
        <w:rPr>
          <w:rFonts w:ascii="Courier New" w:cs="Courier New" w:eastAsia="Courier New" w:hAnsi="Courier New"/>
          <w:color w:val="1B1B1B"/>
          <w:sz w:val="18"/>
          <w:szCs w:val="18"/>
        </w:rPr>
        <w:t xml:space="preserve">| where EventType == "Delivery"</w:t>
      </w:r>
    </w:p>
    <w:p>
      <w:pPr>
        <w:spacing w:after="0"/>
      </w:pPr>
      <w:r>
        <w:rPr>
          <w:rFonts w:ascii="Courier New" w:cs="Courier New" w:eastAsia="Courier New" w:hAnsi="Courier New"/>
          <w:color w:val="1B1B1B"/>
          <w:sz w:val="18"/>
          <w:szCs w:val="18"/>
        </w:rPr>
        <w:t xml:space="preserve">| summarize Messages=count(), Recipients=dcount(RecipientAddress)</w:t>
      </w:r>
    </w:p>
    <w:p>
      <w:pPr>
        <w:spacing w:after="0"/>
      </w:pPr>
      <w:r>
        <w:rPr>
          <w:rFonts w:ascii="Courier New" w:cs="Courier New" w:eastAsia="Courier New" w:hAnsi="Courier New"/>
          <w:color w:val="1B1B1B"/>
          <w:sz w:val="18"/>
          <w:szCs w:val="18"/>
        </w:rPr>
        <w:t xml:space="preserve">        by Campaign, SenderAddress, SenderIP, SPFResult, DKIMResult, DMARCResult, DeliveryAction</w:t>
      </w:r>
    </w:p>
    <w:p>
      <w:pPr>
        <w:spacing w:after="0"/>
      </w:pPr>
      <w:r>
        <w:rPr>
          <w:rFonts w:ascii="Courier New" w:cs="Courier New" w:eastAsia="Courier New" w:hAnsi="Courier New"/>
          <w:color w:val="1B1B1B"/>
          <w:sz w:val="18"/>
          <w:szCs w:val="18"/>
        </w:rPr>
        <w:t xml:space="preserve">| order by Campaign asc, SenderIP asc</w:t>
      </w:r>
    </w:p>
    <w:p>
      <w:pPr>
        <w:spacing w:after="160"/>
      </w:pPr>
    </w:p>
    <w:p>
      <w:pPr>
        <w:pStyle w:val="Heading2"/>
        <w:spacing w:after="140" w:before="320"/>
      </w:pPr>
      <w:r>
        <w:rPr>
          <w:rFonts w:ascii="Times New Roman" w:cs="Times New Roman" w:eastAsia="Times New Roman" w:hAnsi="Times New Roman"/>
          <w:b/>
          <w:bCs/>
          <w:color w:val="1F3864"/>
          <w:sz w:val="25"/>
          <w:szCs w:val="25"/>
        </w:rPr>
        <w:t xml:space="preserve">A.3 Delivered-to vs. protected by EOP</w:t>
      </w:r>
    </w:p>
    <w:p>
      <w:pPr>
        <w:spacing w:after="0"/>
      </w:pPr>
      <w:r>
        <w:rPr>
          <w:rFonts w:ascii="Courier New" w:cs="Courier New" w:eastAsia="Courier New" w:hAnsi="Courier New"/>
          <w:color w:val="1B1B1B"/>
          <w:sz w:val="18"/>
          <w:szCs w:val="18"/>
        </w:rPr>
        <w:t xml:space="preserve">CloudoraMsgTrace_CL</w:t>
      </w:r>
    </w:p>
    <w:p>
      <w:pPr>
        <w:spacing w:after="0"/>
      </w:pPr>
      <w:r>
        <w:rPr>
          <w:rFonts w:ascii="Courier New" w:cs="Courier New" w:eastAsia="Courier New" w:hAnsi="Courier New"/>
          <w:color w:val="1B1B1B"/>
          <w:sz w:val="18"/>
          <w:szCs w:val="18"/>
        </w:rPr>
        <w:t xml:space="preserve">| where EventType == "Delivery" and DeliveryAction == "Delivered"</w:t>
      </w:r>
    </w:p>
    <w:p>
      <w:pPr>
        <w:spacing w:after="0"/>
      </w:pPr>
      <w:r>
        <w:rPr>
          <w:rFonts w:ascii="Courier New" w:cs="Courier New" w:eastAsia="Courier New" w:hAnsi="Courier New"/>
          <w:color w:val="1B1B1B"/>
          <w:sz w:val="18"/>
          <w:szCs w:val="18"/>
        </w:rPr>
        <w:t xml:space="preserve">| distinct RecipientAddress</w:t>
      </w:r>
    </w:p>
    <w:p>
      <w:pPr>
        <w:spacing w:after="60"/>
      </w:pPr>
    </w:p>
    <w:p>
      <w:pPr>
        <w:spacing w:after="0"/>
      </w:pPr>
      <w:r>
        <w:rPr>
          <w:rFonts w:ascii="Courier New" w:cs="Courier New" w:eastAsia="Courier New" w:hAnsi="Courier New"/>
          <w:color w:val="1B1B1B"/>
          <w:sz w:val="18"/>
          <w:szCs w:val="18"/>
        </w:rPr>
        <w:t xml:space="preserve">let DeliveredTo = CloudoraMsgTrace_CL</w:t>
      </w:r>
    </w:p>
    <w:p>
      <w:pPr>
        <w:spacing w:after="0"/>
      </w:pPr>
      <w:r>
        <w:rPr>
          <w:rFonts w:ascii="Courier New" w:cs="Courier New" w:eastAsia="Courier New" w:hAnsi="Courier New"/>
          <w:color w:val="1B1B1B"/>
          <w:sz w:val="18"/>
          <w:szCs w:val="18"/>
        </w:rPr>
        <w:t xml:space="preserve">    | where EventType == "Delivery" and DeliveryAction == "Delivered"</w:t>
      </w:r>
    </w:p>
    <w:p>
      <w:pPr>
        <w:spacing w:after="0"/>
      </w:pPr>
      <w:r>
        <w:rPr>
          <w:rFonts w:ascii="Courier New" w:cs="Courier New" w:eastAsia="Courier New" w:hAnsi="Courier New"/>
          <w:color w:val="1B1B1B"/>
          <w:sz w:val="18"/>
          <w:szCs w:val="18"/>
        </w:rPr>
        <w:t xml:space="preserve">    | distinct RecipientAddress;</w:t>
      </w:r>
    </w:p>
    <w:p>
      <w:pPr>
        <w:spacing w:after="0"/>
      </w:pPr>
      <w:r>
        <w:rPr>
          <w:rFonts w:ascii="Courier New" w:cs="Courier New" w:eastAsia="Courier New" w:hAnsi="Courier New"/>
          <w:color w:val="1B1B1B"/>
          <w:sz w:val="18"/>
          <w:szCs w:val="18"/>
        </w:rPr>
        <w:t xml:space="preserve">CloudoraMsgTrace_CL</w:t>
      </w:r>
    </w:p>
    <w:p>
      <w:pPr>
        <w:spacing w:after="0"/>
      </w:pPr>
      <w:r>
        <w:rPr>
          <w:rFonts w:ascii="Courier New" w:cs="Courier New" w:eastAsia="Courier New" w:hAnsi="Courier New"/>
          <w:color w:val="1B1B1B"/>
          <w:sz w:val="18"/>
          <w:szCs w:val="18"/>
        </w:rPr>
        <w:t xml:space="preserve">| where EventType == "Delivery" and DeliveryAction == "Quarantined"</w:t>
      </w:r>
    </w:p>
    <w:p>
      <w:pPr>
        <w:spacing w:after="0"/>
      </w:pPr>
      <w:r>
        <w:rPr>
          <w:rFonts w:ascii="Courier New" w:cs="Courier New" w:eastAsia="Courier New" w:hAnsi="Courier New"/>
          <w:color w:val="1B1B1B"/>
          <w:sz w:val="18"/>
          <w:szCs w:val="18"/>
        </w:rPr>
        <w:t xml:space="preserve">| where RecipientAddress !in (DeliveredTo)</w:t>
      </w:r>
    </w:p>
    <w:p>
      <w:pPr>
        <w:spacing w:after="0"/>
      </w:pPr>
      <w:r>
        <w:rPr>
          <w:rFonts w:ascii="Courier New" w:cs="Courier New" w:eastAsia="Courier New" w:hAnsi="Courier New"/>
          <w:color w:val="1B1B1B"/>
          <w:sz w:val="18"/>
          <w:szCs w:val="18"/>
        </w:rPr>
        <w:t xml:space="preserve">| distinct RecipientAddress</w:t>
      </w:r>
    </w:p>
    <w:p>
      <w:pPr>
        <w:spacing w:after="160"/>
      </w:pPr>
    </w:p>
    <w:p>
      <w:pPr>
        <w:pStyle w:val="Heading2"/>
        <w:spacing w:after="140" w:before="320"/>
      </w:pPr>
      <w:r>
        <w:rPr>
          <w:rFonts w:ascii="Times New Roman" w:cs="Times New Roman" w:eastAsia="Times New Roman" w:hAnsi="Times New Roman"/>
          <w:b/>
          <w:bCs/>
          <w:color w:val="1F3864"/>
          <w:sz w:val="25"/>
          <w:szCs w:val="25"/>
        </w:rPr>
        <w:t xml:space="preserve">A.4 Clicks and credential submissions</w:t>
      </w:r>
    </w:p>
    <w:p>
      <w:pPr>
        <w:spacing w:after="0"/>
      </w:pPr>
      <w:r>
        <w:rPr>
          <w:rFonts w:ascii="Courier New" w:cs="Courier New" w:eastAsia="Courier New" w:hAnsi="Courier New"/>
          <w:color w:val="1B1B1B"/>
          <w:sz w:val="18"/>
          <w:szCs w:val="18"/>
        </w:rPr>
        <w:t xml:space="preserve">CloudoraMsgTrace_CL</w:t>
      </w:r>
    </w:p>
    <w:p>
      <w:pPr>
        <w:spacing w:after="0"/>
      </w:pPr>
      <w:r>
        <w:rPr>
          <w:rFonts w:ascii="Courier New" w:cs="Courier New" w:eastAsia="Courier New" w:hAnsi="Courier New"/>
          <w:color w:val="1B1B1B"/>
          <w:sz w:val="18"/>
          <w:szCs w:val="18"/>
        </w:rPr>
        <w:t xml:space="preserve">| where EventType == "Click"</w:t>
      </w:r>
    </w:p>
    <w:p>
      <w:pPr>
        <w:spacing w:after="0"/>
      </w:pPr>
      <w:r>
        <w:rPr>
          <w:rFonts w:ascii="Courier New" w:cs="Courier New" w:eastAsia="Courier New" w:hAnsi="Courier New"/>
          <w:color w:val="1B1B1B"/>
          <w:sz w:val="18"/>
          <w:szCs w:val="18"/>
        </w:rPr>
        <w:t xml:space="preserve">| project TimeGenerated, RecipientAddress, Campaign, Url, ClickIP, CredentialsSubmitted</w:t>
      </w:r>
    </w:p>
    <w:p>
      <w:pPr>
        <w:spacing w:after="0"/>
      </w:pPr>
      <w:r>
        <w:rPr>
          <w:rFonts w:ascii="Courier New" w:cs="Courier New" w:eastAsia="Courier New" w:hAnsi="Courier New"/>
          <w:color w:val="1B1B1B"/>
          <w:sz w:val="18"/>
          <w:szCs w:val="18"/>
        </w:rPr>
        <w:t xml:space="preserve">| order by TimeGenerated asc</w:t>
      </w:r>
    </w:p>
    <w:p>
      <w:pPr>
        <w:spacing w:after="60"/>
      </w:pPr>
    </w:p>
    <w:p>
      <w:pPr>
        <w:spacing w:after="0"/>
      </w:pPr>
      <w:r>
        <w:rPr>
          <w:rFonts w:ascii="Courier New" w:cs="Courier New" w:eastAsia="Courier New" w:hAnsi="Courier New"/>
          <w:color w:val="1B1B1B"/>
          <w:sz w:val="18"/>
          <w:szCs w:val="18"/>
        </w:rPr>
        <w:t xml:space="preserve">CloudoraMsgTrace_CL</w:t>
      </w:r>
    </w:p>
    <w:p>
      <w:pPr>
        <w:spacing w:after="0"/>
      </w:pPr>
      <w:r>
        <w:rPr>
          <w:rFonts w:ascii="Courier New" w:cs="Courier New" w:eastAsia="Courier New" w:hAnsi="Courier New"/>
          <w:color w:val="1B1B1B"/>
          <w:sz w:val="18"/>
          <w:szCs w:val="18"/>
        </w:rPr>
        <w:t xml:space="preserve">| where EventType == "Click" and CredentialsSubmitted == "Yes"</w:t>
      </w:r>
    </w:p>
    <w:p>
      <w:pPr>
        <w:spacing w:after="0"/>
      </w:pPr>
      <w:r>
        <w:rPr>
          <w:rFonts w:ascii="Courier New" w:cs="Courier New" w:eastAsia="Courier New" w:hAnsi="Courier New"/>
          <w:color w:val="1B1B1B"/>
          <w:sz w:val="18"/>
          <w:szCs w:val="18"/>
        </w:rPr>
        <w:t xml:space="preserve">| project TimeGenerated, RecipientAddress, Campaign, Url, ClickIP</w:t>
      </w:r>
    </w:p>
    <w:p>
      <w:pPr>
        <w:spacing w:after="0"/>
      </w:pPr>
      <w:r>
        <w:rPr>
          <w:rFonts w:ascii="Courier New" w:cs="Courier New" w:eastAsia="Courier New" w:hAnsi="Courier New"/>
          <w:color w:val="1B1B1B"/>
          <w:sz w:val="18"/>
          <w:szCs w:val="18"/>
        </w:rPr>
        <w:t xml:space="preserve">| order by TimeGenerated asc</w:t>
      </w:r>
    </w:p>
    <w:p>
      <w:pPr>
        <w:spacing w:after="160"/>
      </w:pPr>
    </w:p>
    <w:p>
      <w:pPr>
        <w:pStyle w:val="Heading2"/>
        <w:spacing w:after="140" w:before="320"/>
      </w:pPr>
      <w:r>
        <w:rPr>
          <w:rFonts w:ascii="Times New Roman" w:cs="Times New Roman" w:eastAsia="Times New Roman" w:hAnsi="Times New Roman"/>
          <w:b/>
          <w:bCs/>
          <w:color w:val="1F3864"/>
          <w:sz w:val="25"/>
          <w:szCs w:val="25"/>
        </w:rPr>
        <w:t xml:space="preserve">A.5 Did a submitted credential get used?</w:t>
      </w:r>
    </w:p>
    <w:p>
      <w:pPr>
        <w:spacing w:after="0"/>
      </w:pPr>
      <w:r>
        <w:rPr>
          <w:rFonts w:ascii="Courier New" w:cs="Courier New" w:eastAsia="Courier New" w:hAnsi="Courier New"/>
          <w:color w:val="1B1B1B"/>
          <w:sz w:val="18"/>
          <w:szCs w:val="18"/>
        </w:rPr>
        <w:t xml:space="preserve">let CredVictims = CloudoraMsgTrace_CL</w:t>
      </w:r>
    </w:p>
    <w:p>
      <w:pPr>
        <w:spacing w:after="0"/>
      </w:pPr>
      <w:r>
        <w:rPr>
          <w:rFonts w:ascii="Courier New" w:cs="Courier New" w:eastAsia="Courier New" w:hAnsi="Courier New"/>
          <w:color w:val="1B1B1B"/>
          <w:sz w:val="18"/>
          <w:szCs w:val="18"/>
        </w:rPr>
        <w:t xml:space="preserve">    | where EventType == "Click" and CredentialsSubmitted == "Yes"</w:t>
      </w:r>
    </w:p>
    <w:p>
      <w:pPr>
        <w:spacing w:after="0"/>
      </w:pPr>
      <w:r>
        <w:rPr>
          <w:rFonts w:ascii="Courier New" w:cs="Courier New" w:eastAsia="Courier New" w:hAnsi="Courier New"/>
          <w:color w:val="1B1B1B"/>
          <w:sz w:val="18"/>
          <w:szCs w:val="18"/>
        </w:rPr>
        <w:t xml:space="preserve">    | distinct RecipientAddress;</w:t>
      </w:r>
    </w:p>
    <w:p>
      <w:pPr>
        <w:spacing w:after="0"/>
      </w:pPr>
      <w:r>
        <w:rPr>
          <w:rFonts w:ascii="Courier New" w:cs="Courier New" w:eastAsia="Courier New" w:hAnsi="Courier New"/>
          <w:color w:val="1B1B1B"/>
          <w:sz w:val="18"/>
          <w:szCs w:val="18"/>
        </w:rPr>
        <w:t xml:space="preserve">CloudoraSignIn_CL</w:t>
      </w:r>
    </w:p>
    <w:p>
      <w:pPr>
        <w:spacing w:after="0"/>
      </w:pPr>
      <w:r>
        <w:rPr>
          <w:rFonts w:ascii="Courier New" w:cs="Courier New" w:eastAsia="Courier New" w:hAnsi="Courier New"/>
          <w:color w:val="1B1B1B"/>
          <w:sz w:val="18"/>
          <w:szCs w:val="18"/>
        </w:rPr>
        <w:t xml:space="preserve">| where UserPrincipalName in (CredVictims)</w:t>
      </w:r>
    </w:p>
    <w:p>
      <w:pPr>
        <w:spacing w:after="0"/>
      </w:pPr>
      <w:r>
        <w:rPr>
          <w:rFonts w:ascii="Courier New" w:cs="Courier New" w:eastAsia="Courier New" w:hAnsi="Courier New"/>
          <w:color w:val="1B1B1B"/>
          <w:sz w:val="18"/>
          <w:szCs w:val="18"/>
        </w:rPr>
        <w:t xml:space="preserve">| where ResultType == "0"</w:t>
      </w:r>
    </w:p>
    <w:p>
      <w:pPr>
        <w:spacing w:after="0"/>
      </w:pPr>
      <w:r>
        <w:rPr>
          <w:rFonts w:ascii="Courier New" w:cs="Courier New" w:eastAsia="Courier New" w:hAnsi="Courier New"/>
          <w:color w:val="1B1B1B"/>
          <w:sz w:val="18"/>
          <w:szCs w:val="18"/>
        </w:rPr>
        <w:t xml:space="preserve">| project TimeGenerated, UserPrincipalName, AppDisplayName, IPAddress, City, Country, DeviceOS, Browser</w:t>
      </w:r>
    </w:p>
    <w:p>
      <w:pPr>
        <w:spacing w:after="0"/>
      </w:pPr>
      <w:r>
        <w:rPr>
          <w:rFonts w:ascii="Courier New" w:cs="Courier New" w:eastAsia="Courier New" w:hAnsi="Courier New"/>
          <w:color w:val="1B1B1B"/>
          <w:sz w:val="18"/>
          <w:szCs w:val="18"/>
        </w:rPr>
        <w:t xml:space="preserve">| order by UserPrincipalName asc, TimeGenerated asc</w:t>
      </w:r>
    </w:p>
    <w:p>
      <w:pPr>
        <w:spacing w:after="160"/>
      </w:pPr>
    </w:p>
    <w:p>
      <w:pPr>
        <w:pStyle w:val="Heading2"/>
        <w:spacing w:after="140" w:before="320"/>
      </w:pPr>
      <w:r>
        <w:rPr>
          <w:rFonts w:ascii="Times New Roman" w:cs="Times New Roman" w:eastAsia="Times New Roman" w:hAnsi="Times New Roman"/>
          <w:b/>
          <w:bCs/>
          <w:color w:val="1F3864"/>
          <w:sz w:val="25"/>
          <w:szCs w:val="25"/>
        </w:rPr>
        <w:t xml:space="preserve">A.6 Pivot on the attacker IP — is anyone else compromised?</w:t>
      </w:r>
    </w:p>
    <w:p>
      <w:pPr>
        <w:spacing w:after="0"/>
      </w:pPr>
      <w:r>
        <w:rPr>
          <w:rFonts w:ascii="Courier New" w:cs="Courier New" w:eastAsia="Courier New" w:hAnsi="Courier New"/>
          <w:color w:val="1B1B1B"/>
          <w:sz w:val="18"/>
          <w:szCs w:val="18"/>
        </w:rPr>
        <w:t xml:space="preserve">CloudoraSignIn_CL</w:t>
      </w:r>
    </w:p>
    <w:p>
      <w:pPr>
        <w:spacing w:after="0"/>
      </w:pPr>
      <w:r>
        <w:rPr>
          <w:rFonts w:ascii="Courier New" w:cs="Courier New" w:eastAsia="Courier New" w:hAnsi="Courier New"/>
          <w:color w:val="1B1B1B"/>
          <w:sz w:val="18"/>
          <w:szCs w:val="18"/>
        </w:rPr>
        <w:t xml:space="preserve">| where IPAddress startswith "198.18.7." and ResultType == "0"</w:t>
      </w:r>
    </w:p>
    <w:p>
      <w:pPr>
        <w:spacing w:after="0"/>
      </w:pPr>
      <w:r>
        <w:rPr>
          <w:rFonts w:ascii="Courier New" w:cs="Courier New" w:eastAsia="Courier New" w:hAnsi="Courier New"/>
          <w:color w:val="1B1B1B"/>
          <w:sz w:val="18"/>
          <w:szCs w:val="18"/>
        </w:rPr>
        <w:t xml:space="preserve">| summarize FirstSeen=min(TimeGenerated), LastSeen=max(TimeGenerated),</w:t>
      </w:r>
    </w:p>
    <w:p>
      <w:pPr>
        <w:spacing w:after="0"/>
      </w:pPr>
      <w:r>
        <w:rPr>
          <w:rFonts w:ascii="Courier New" w:cs="Courier New" w:eastAsia="Courier New" w:hAnsi="Courier New"/>
          <w:color w:val="1B1B1B"/>
          <w:sz w:val="18"/>
          <w:szCs w:val="18"/>
        </w:rPr>
        <w:t xml:space="preserve">            Apps=make_set(AppDisplayName) by UserPrincipalName, IPAddress, Country</w:t>
      </w:r>
    </w:p>
    <w:p>
      <w:pPr>
        <w:spacing w:after="0"/>
      </w:pPr>
      <w:r>
        <w:rPr>
          <w:rFonts w:ascii="Courier New" w:cs="Courier New" w:eastAsia="Courier New" w:hAnsi="Courier New"/>
          <w:color w:val="1B1B1B"/>
          <w:sz w:val="18"/>
          <w:szCs w:val="18"/>
        </w:rPr>
        <w:t xml:space="preserve">| order by FirstSeen asc</w:t>
      </w:r>
    </w:p>
    <w:p>
      <w:pPr>
        <w:spacing w:after="160"/>
      </w:pPr>
    </w:p>
    <w:p>
      <w:pPr>
        <w:pStyle w:val="Heading2"/>
        <w:spacing w:after="140" w:before="320"/>
      </w:pPr>
      <w:r>
        <w:rPr>
          <w:rFonts w:ascii="Times New Roman" w:cs="Times New Roman" w:eastAsia="Times New Roman" w:hAnsi="Times New Roman"/>
          <w:b/>
          <w:bCs/>
          <w:color w:val="1F3864"/>
          <w:sz w:val="25"/>
          <w:szCs w:val="25"/>
        </w:rPr>
        <w:t xml:space="preserve">A.7 Near-miss list (Task 2) — delivered-to, minus clickers</w:t>
      </w:r>
    </w:p>
    <w:p>
      <w:pPr>
        <w:spacing w:after="0"/>
      </w:pPr>
      <w:r>
        <w:rPr>
          <w:rFonts w:ascii="Courier New" w:cs="Courier New" w:eastAsia="Courier New" w:hAnsi="Courier New"/>
          <w:color w:val="1B1B1B"/>
          <w:sz w:val="18"/>
          <w:szCs w:val="18"/>
        </w:rPr>
        <w:t xml:space="preserve">let Clickers = CloudoraMsgTrace_CL</w:t>
      </w:r>
    </w:p>
    <w:p>
      <w:pPr>
        <w:spacing w:after="0"/>
      </w:pPr>
      <w:r>
        <w:rPr>
          <w:rFonts w:ascii="Courier New" w:cs="Courier New" w:eastAsia="Courier New" w:hAnsi="Courier New"/>
          <w:color w:val="1B1B1B"/>
          <w:sz w:val="18"/>
          <w:szCs w:val="18"/>
        </w:rPr>
        <w:t xml:space="preserve">    | where EventType == "Click"</w:t>
      </w:r>
    </w:p>
    <w:p>
      <w:pPr>
        <w:spacing w:after="0"/>
      </w:pPr>
      <w:r>
        <w:rPr>
          <w:rFonts w:ascii="Courier New" w:cs="Courier New" w:eastAsia="Courier New" w:hAnsi="Courier New"/>
          <w:color w:val="1B1B1B"/>
          <w:sz w:val="18"/>
          <w:szCs w:val="18"/>
        </w:rPr>
        <w:t xml:space="preserve">    | distinct RecipientAddress;</w:t>
      </w:r>
    </w:p>
    <w:p>
      <w:pPr>
        <w:spacing w:after="0"/>
      </w:pPr>
      <w:r>
        <w:rPr>
          <w:rFonts w:ascii="Courier New" w:cs="Courier New" w:eastAsia="Courier New" w:hAnsi="Courier New"/>
          <w:color w:val="1B1B1B"/>
          <w:sz w:val="18"/>
          <w:szCs w:val="18"/>
        </w:rPr>
        <w:t xml:space="preserve">CloudoraMsgTrace_CL</w:t>
      </w:r>
    </w:p>
    <w:p>
      <w:pPr>
        <w:spacing w:after="0"/>
      </w:pPr>
      <w:r>
        <w:rPr>
          <w:rFonts w:ascii="Courier New" w:cs="Courier New" w:eastAsia="Courier New" w:hAnsi="Courier New"/>
          <w:color w:val="1B1B1B"/>
          <w:sz w:val="18"/>
          <w:szCs w:val="18"/>
        </w:rPr>
        <w:t xml:space="preserve">| where EventType == "Delivery" and DeliveryAction == "Delivered"</w:t>
      </w:r>
    </w:p>
    <w:p>
      <w:pPr>
        <w:spacing w:after="0"/>
      </w:pPr>
      <w:r>
        <w:rPr>
          <w:rFonts w:ascii="Courier New" w:cs="Courier New" w:eastAsia="Courier New" w:hAnsi="Courier New"/>
          <w:color w:val="1B1B1B"/>
          <w:sz w:val="18"/>
          <w:szCs w:val="18"/>
        </w:rPr>
        <w:t xml:space="preserve">| distinct RecipientAddress</w:t>
      </w:r>
    </w:p>
    <w:p>
      <w:pPr>
        <w:spacing w:after="0"/>
      </w:pPr>
      <w:r>
        <w:rPr>
          <w:rFonts w:ascii="Courier New" w:cs="Courier New" w:eastAsia="Courier New" w:hAnsi="Courier New"/>
          <w:color w:val="1B1B1B"/>
          <w:sz w:val="18"/>
          <w:szCs w:val="18"/>
        </w:rPr>
        <w:t xml:space="preserve">| where RecipientAddress !in (Clickers)</w:t>
      </w:r>
    </w:p>
    <w:p>
      <w:pPr>
        <w:spacing w:after="0"/>
      </w:pPr>
      <w:r>
        <w:rPr>
          <w:rFonts w:ascii="Courier New" w:cs="Courier New" w:eastAsia="Courier New" w:hAnsi="Courier New"/>
          <w:color w:val="1B1B1B"/>
          <w:sz w:val="18"/>
          <w:szCs w:val="18"/>
        </w:rPr>
        <w:t xml:space="preserve">| order by RecipientAddress asc</w:t>
      </w:r>
    </w:p>
    <w:p>
      <w:pPr>
        <w:spacing w:after="160"/>
      </w:pPr>
    </w:p>
    <w:p>
      <w:pPr>
        <w:pStyle w:val="Heading2"/>
        <w:spacing w:after="140" w:before="320"/>
      </w:pPr>
      <w:r>
        <w:rPr>
          <w:rFonts w:ascii="Times New Roman" w:cs="Times New Roman" w:eastAsia="Times New Roman" w:hAnsi="Times New Roman"/>
          <w:b/>
          <w:bCs/>
          <w:color w:val="1F3864"/>
          <w:sz w:val="25"/>
          <w:szCs w:val="25"/>
        </w:rPr>
        <w:t xml:space="preserve">A.8 Clicked but did not submit credentials</w:t>
      </w:r>
    </w:p>
    <w:p>
      <w:pPr>
        <w:spacing w:after="0"/>
      </w:pPr>
      <w:r>
        <w:rPr>
          <w:rFonts w:ascii="Courier New" w:cs="Courier New" w:eastAsia="Courier New" w:hAnsi="Courier New"/>
          <w:color w:val="1B1B1B"/>
          <w:sz w:val="18"/>
          <w:szCs w:val="18"/>
        </w:rPr>
        <w:t xml:space="preserve">CloudoraMsgTrace_CL</w:t>
      </w:r>
    </w:p>
    <w:p>
      <w:pPr>
        <w:spacing w:after="0"/>
      </w:pPr>
      <w:r>
        <w:rPr>
          <w:rFonts w:ascii="Courier New" w:cs="Courier New" w:eastAsia="Courier New" w:hAnsi="Courier New"/>
          <w:color w:val="1B1B1B"/>
          <w:sz w:val="18"/>
          <w:szCs w:val="18"/>
        </w:rPr>
        <w:t xml:space="preserve">| where EventType == "Click" and CredentialsSubmitted == "No"</w:t>
      </w:r>
    </w:p>
    <w:p>
      <w:pPr>
        <w:spacing w:after="0"/>
      </w:pPr>
      <w:r>
        <w:rPr>
          <w:rFonts w:ascii="Courier New" w:cs="Courier New" w:eastAsia="Courier New" w:hAnsi="Courier New"/>
          <w:color w:val="1B1B1B"/>
          <w:sz w:val="18"/>
          <w:szCs w:val="18"/>
        </w:rPr>
        <w:t xml:space="preserve">| distinct RecipientAddress</w:t>
      </w:r>
    </w:p>
    <w:p>
      <w:pPr>
        <w:spacing w:after="160"/>
      </w:pPr>
    </w:p>
    <w:p>
      <w:pPr>
        <w:pStyle w:val="Heading2"/>
        <w:spacing w:after="140" w:before="320"/>
      </w:pPr>
      <w:r>
        <w:rPr>
          <w:rFonts w:ascii="Times New Roman" w:cs="Times New Roman" w:eastAsia="Times New Roman" w:hAnsi="Times New Roman"/>
          <w:b/>
          <w:bCs/>
          <w:color w:val="1F3864"/>
          <w:sz w:val="25"/>
          <w:szCs w:val="25"/>
        </w:rPr>
        <w:t xml:space="preserve">A.9 Standing detection (Task 4) — new-country sign-in shortly after a click</w:t>
      </w:r>
    </w:p>
    <w:p>
      <w:pPr>
        <w:spacing w:after="0"/>
      </w:pPr>
      <w:r>
        <w:rPr>
          <w:rFonts w:ascii="Courier New" w:cs="Courier New" w:eastAsia="Courier New" w:hAnsi="Courier New"/>
          <w:color w:val="1B1B1B"/>
          <w:sz w:val="18"/>
          <w:szCs w:val="18"/>
        </w:rPr>
        <w:t xml:space="preserve">let RecentClickers = CloudoraMsgTrace_CL</w:t>
      </w:r>
    </w:p>
    <w:p>
      <w:pPr>
        <w:spacing w:after="0"/>
      </w:pPr>
      <w:r>
        <w:rPr>
          <w:rFonts w:ascii="Courier New" w:cs="Courier New" w:eastAsia="Courier New" w:hAnsi="Courier New"/>
          <w:color w:val="1B1B1B"/>
          <w:sz w:val="18"/>
          <w:szCs w:val="18"/>
        </w:rPr>
        <w:t xml:space="preserve">    | where EventType == "Click"</w:t>
      </w:r>
    </w:p>
    <w:p>
      <w:pPr>
        <w:spacing w:after="0"/>
      </w:pPr>
      <w:r>
        <w:rPr>
          <w:rFonts w:ascii="Courier New" w:cs="Courier New" w:eastAsia="Courier New" w:hAnsi="Courier New"/>
          <w:color w:val="1B1B1B"/>
          <w:sz w:val="18"/>
          <w:szCs w:val="18"/>
        </w:rPr>
        <w:t xml:space="preserve">    | project RecipientAddress, ClickTime = TimeGenerated;</w:t>
      </w:r>
    </w:p>
    <w:p>
      <w:pPr>
        <w:spacing w:after="0"/>
      </w:pPr>
      <w:r>
        <w:rPr>
          <w:rFonts w:ascii="Courier New" w:cs="Courier New" w:eastAsia="Courier New" w:hAnsi="Courier New"/>
          <w:color w:val="1B1B1B"/>
          <w:sz w:val="18"/>
          <w:szCs w:val="18"/>
        </w:rPr>
        <w:t xml:space="preserve">CloudoraSignIn_CL</w:t>
      </w:r>
    </w:p>
    <w:p>
      <w:pPr>
        <w:spacing w:after="0"/>
      </w:pPr>
      <w:r>
        <w:rPr>
          <w:rFonts w:ascii="Courier New" w:cs="Courier New" w:eastAsia="Courier New" w:hAnsi="Courier New"/>
          <w:color w:val="1B1B1B"/>
          <w:sz w:val="18"/>
          <w:szCs w:val="18"/>
        </w:rPr>
        <w:t xml:space="preserve">| where ResultType == "0"</w:t>
      </w:r>
    </w:p>
    <w:p>
      <w:pPr>
        <w:spacing w:after="0"/>
      </w:pPr>
      <w:r>
        <w:rPr>
          <w:rFonts w:ascii="Courier New" w:cs="Courier New" w:eastAsia="Courier New" w:hAnsi="Courier New"/>
          <w:color w:val="1B1B1B"/>
          <w:sz w:val="18"/>
          <w:szCs w:val="18"/>
        </w:rPr>
        <w:t xml:space="preserve">| join kind=inner RecentClickers on $left.UserPrincipalName == $right.RecipientAddress</w:t>
      </w:r>
    </w:p>
    <w:p>
      <w:pPr>
        <w:spacing w:after="0"/>
      </w:pPr>
      <w:r>
        <w:rPr>
          <w:rFonts w:ascii="Courier New" w:cs="Courier New" w:eastAsia="Courier New" w:hAnsi="Courier New"/>
          <w:color w:val="1B1B1B"/>
          <w:sz w:val="18"/>
          <w:szCs w:val="18"/>
        </w:rPr>
        <w:t xml:space="preserve">| where TimeGenerated between (ClickTime .. ClickTime + 6h)</w:t>
      </w:r>
    </w:p>
    <w:p>
      <w:pPr>
        <w:spacing w:after="0"/>
      </w:pPr>
      <w:r>
        <w:rPr>
          <w:rFonts w:ascii="Courier New" w:cs="Courier New" w:eastAsia="Courier New" w:hAnsi="Courier New"/>
          <w:color w:val="1B1B1B"/>
          <w:sz w:val="18"/>
          <w:szCs w:val="18"/>
        </w:rPr>
        <w:t xml:space="preserve">| where Country != "United Kingdom"</w:t>
      </w:r>
    </w:p>
    <w:p>
      <w:pPr>
        <w:spacing w:after="160"/>
      </w:pPr>
    </w:p>
    <w:p>
      <w:r>
        <w:br w:type="page"/>
      </w:r>
    </w:p>
    <w:p>
      <w:pPr>
        <w:pStyle w:val="Heading1"/>
        <w:pBdr>
          <w:bottom w:val="single" w:color="1F3864" w:sz="6" w:space="4"/>
        </w:pBdr>
        <w:spacing w:after="200" w:before="480"/>
      </w:pPr>
      <w:r>
        <w:rPr>
          <w:rFonts w:ascii="Times New Roman" w:cs="Times New Roman" w:eastAsia="Times New Roman" w:hAnsi="Times New Roman"/>
          <w:b/>
          <w:bCs/>
          <w:color w:val="1F3864"/>
          <w:sz w:val="30"/>
          <w:szCs w:val="30"/>
        </w:rPr>
        <w:t xml:space="preserve">Appendix B — Population Lists</w:t>
      </w:r>
    </w:p>
    <w:p>
      <w:pPr>
        <w:pStyle w:val="Heading2"/>
        <w:spacing w:after="140" w:before="320"/>
      </w:pPr>
      <w:r>
        <w:rPr>
          <w:rFonts w:ascii="Times New Roman" w:cs="Times New Roman" w:eastAsia="Times New Roman" w:hAnsi="Times New Roman"/>
          <w:b/>
          <w:bCs/>
          <w:color w:val="1F3864"/>
          <w:sz w:val="25"/>
          <w:szCs w:val="25"/>
        </w:rPr>
        <w:t xml:space="preserve">B.1 Confirmed compromised (2)</w:t>
      </w:r>
    </w:p>
    <w:p>
      <w:pPr>
        <w:spacing w:after="160" w:line="276"/>
        <w:jc w:val="both"/>
      </w:pPr>
      <w:r>
        <w:rPr>
          <w:rFonts w:ascii="Times New Roman" w:cs="Times New Roman" w:eastAsia="Times New Roman" w:hAnsi="Times New Roman"/>
          <w:color w:val="404040"/>
          <w:sz w:val="22"/>
          <w:szCs w:val="22"/>
        </w:rPr>
        <w:t xml:space="preserve">freya.lynn@cloudora.io *, ryan.boyd@cloudora.io * — both submitted credentials and were subsequently signed into by the attacker.</w:t>
      </w:r>
    </w:p>
    <w:p>
      <w:pPr>
        <w:pStyle w:val="Heading2"/>
        <w:spacing w:after="140" w:before="320"/>
      </w:pPr>
      <w:r>
        <w:rPr>
          <w:rFonts w:ascii="Times New Roman" w:cs="Times New Roman" w:eastAsia="Times New Roman" w:hAnsi="Times New Roman"/>
          <w:b/>
          <w:bCs/>
          <w:color w:val="1F3864"/>
          <w:sz w:val="25"/>
          <w:szCs w:val="25"/>
        </w:rPr>
        <w:t xml:space="preserve">B.2 Clicked, credentials not submitted — precautionary reset (4)</w:t>
      </w:r>
    </w:p>
    <w:p>
      <w:pPr>
        <w:spacing w:after="160" w:line="276"/>
        <w:jc w:val="both"/>
      </w:pPr>
      <w:r>
        <w:rPr>
          <w:rFonts w:ascii="Times New Roman" w:cs="Times New Roman" w:eastAsia="Times New Roman" w:hAnsi="Times New Roman"/>
          <w:color w:val="404040"/>
          <w:sz w:val="22"/>
          <w:szCs w:val="22"/>
        </w:rPr>
        <w:t xml:space="preserve">seth.lane@cloudora.io, chloe.price@cloudora.io, hugo.marsh@cloudora.io, dina.said@cloudora.io</w:t>
      </w:r>
    </w:p>
    <w:p>
      <w:pPr>
        <w:pStyle w:val="Heading2"/>
        <w:spacing w:after="140" w:before="320"/>
      </w:pPr>
      <w:r>
        <w:rPr>
          <w:rFonts w:ascii="Times New Roman" w:cs="Times New Roman" w:eastAsia="Times New Roman" w:hAnsi="Times New Roman"/>
          <w:b/>
          <w:bCs/>
          <w:color w:val="1F3864"/>
          <w:sz w:val="25"/>
          <w:szCs w:val="25"/>
        </w:rPr>
        <w:t xml:space="preserve">B.3 Received, did not click — near-miss / general awareness (30)</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4800"/>
        <w:gridCol w:w="4800"/>
      </w:tblGrid>
      <w:tr>
        <w:trPr>
          <w:tblHeader/>
        </w:trPr>
        <w:tc>
          <w:tcPr>
            <w:tcW w:type="pct" w:w="50%"/>
            <w:tcBorders>
              <w:top w:val="single" w:color="1F3864" w:sz="4"/>
              <w:left w:val="single" w:color="1F3864" w:sz="4"/>
              <w:bottom w:val="single" w:color="1F3864" w:sz="4"/>
              <w:right w:val="single" w:color="1F3864" w:sz="4"/>
            </w:tcBorders>
            <w:shd w:fill="1F3864" w:val="clear"/>
            <w:tcMar>
              <w:top w:type="dxa" w:w="90"/>
              <w:left w:type="dxa" w:w="110"/>
              <w:bottom w:type="dxa" w:w="90"/>
              <w:right w:type="dxa" w:w="110"/>
            </w:tcMar>
            <w:vAlign w:val="center"/>
          </w:tcPr>
          <w:p>
            <w:r>
              <w:rPr>
                <w:rFonts w:ascii="Times New Roman" w:cs="Times New Roman" w:eastAsia="Times New Roman" w:hAnsi="Times New Roman"/>
                <w:b/>
                <w:bCs/>
                <w:color w:val="FFFFFF"/>
                <w:sz w:val="19"/>
                <w:szCs w:val="19"/>
              </w:rPr>
              <w:t xml:space="preserve">Account</w:t>
            </w:r>
          </w:p>
        </w:tc>
        <w:tc>
          <w:tcPr>
            <w:tcW w:type="pct" w:w="50%"/>
            <w:tcBorders>
              <w:top w:val="single" w:color="1F3864" w:sz="4"/>
              <w:left w:val="single" w:color="1F3864" w:sz="4"/>
              <w:bottom w:val="single" w:color="1F3864" w:sz="4"/>
              <w:right w:val="single" w:color="1F3864" w:sz="4"/>
            </w:tcBorders>
            <w:shd w:fill="1F3864" w:val="clear"/>
            <w:tcMar>
              <w:top w:type="dxa" w:w="90"/>
              <w:left w:type="dxa" w:w="110"/>
              <w:bottom w:type="dxa" w:w="90"/>
              <w:right w:type="dxa" w:w="110"/>
            </w:tcMar>
            <w:vAlign w:val="center"/>
          </w:tcPr>
          <w:p>
            <w:r>
              <w:rPr>
                <w:rFonts w:ascii="Times New Roman" w:cs="Times New Roman" w:eastAsia="Times New Roman" w:hAnsi="Times New Roman"/>
                <w:b/>
                <w:bCs/>
                <w:color w:val="FFFFFF"/>
                <w:sz w:val="19"/>
                <w:szCs w:val="19"/>
              </w:rPr>
              <w:t xml:space="preserve">Account</w:t>
            </w:r>
          </w:p>
        </w:tc>
      </w:tr>
      <w:tr>
        <w:tc>
          <w:tcPr>
            <w:tcW w:type="pct" w:w="50%"/>
            <w:tcBorders>
              <w:top w:val="single" w:color="BFBFBF" w:sz="4"/>
              <w:left w:val="single" w:color="BFBFBF" w:sz="4"/>
              <w:bottom w:val="single" w:color="BFBFBF" w:sz="4"/>
              <w:right w:val="single" w:color="BFBFBF" w:sz="4"/>
            </w:tcBorders>
            <w:shd w:fill="FFFFFF" w:val="clear"/>
            <w:tcMar>
              <w:top w:type="dxa" w:w="80"/>
              <w:left w:type="dxa" w:w="110"/>
              <w:bottom w:type="dxa" w:w="80"/>
              <w:right w:type="dxa" w:w="110"/>
            </w:tcMar>
            <w:vAlign w:val="center"/>
          </w:tcPr>
          <w:p>
            <w:r>
              <w:rPr>
                <w:rFonts w:ascii="Times New Roman" w:cs="Times New Roman" w:eastAsia="Times New Roman" w:hAnsi="Times New Roman"/>
                <w:b w:val="false"/>
                <w:bCs w:val="false"/>
                <w:color w:val="404040"/>
                <w:sz w:val="19"/>
                <w:szCs w:val="19"/>
              </w:rPr>
              <w:t xml:space="preserve">adam.clark@cloudora.io</w:t>
            </w:r>
          </w:p>
        </w:tc>
        <w:tc>
          <w:tcPr>
            <w:tcW w:type="pct" w:w="50%"/>
            <w:tcBorders>
              <w:top w:val="single" w:color="BFBFBF" w:sz="4"/>
              <w:left w:val="single" w:color="BFBFBF" w:sz="4"/>
              <w:bottom w:val="single" w:color="BFBFBF" w:sz="4"/>
              <w:right w:val="single" w:color="BFBFBF" w:sz="4"/>
            </w:tcBorders>
            <w:shd w:fill="FFFFFF" w:val="clear"/>
            <w:tcMar>
              <w:top w:type="dxa" w:w="80"/>
              <w:left w:type="dxa" w:w="110"/>
              <w:bottom w:type="dxa" w:w="80"/>
              <w:right w:type="dxa" w:w="110"/>
            </w:tcMar>
            <w:vAlign w:val="center"/>
          </w:tcPr>
          <w:p>
            <w:r>
              <w:rPr>
                <w:rFonts w:ascii="Times New Roman" w:cs="Times New Roman" w:eastAsia="Times New Roman" w:hAnsi="Times New Roman"/>
                <w:b w:val="false"/>
                <w:bCs w:val="false"/>
                <w:color w:val="404040"/>
                <w:sz w:val="19"/>
                <w:szCs w:val="19"/>
              </w:rPr>
              <w:t xml:space="preserve">jude.ross@cloudora.io</w:t>
            </w:r>
          </w:p>
        </w:tc>
      </w:tr>
      <w:tr>
        <w:tc>
          <w:tcPr>
            <w:tcW w:type="pct" w:w="50%"/>
            <w:tcBorders>
              <w:top w:val="single" w:color="BFBFBF" w:sz="4"/>
              <w:left w:val="single" w:color="BFBFBF" w:sz="4"/>
              <w:bottom w:val="single" w:color="BFBFBF" w:sz="4"/>
              <w:right w:val="single" w:color="BFBFBF" w:sz="4"/>
            </w:tcBorders>
            <w:shd w:fill="F7F9FC" w:val="clear"/>
            <w:tcMar>
              <w:top w:type="dxa" w:w="80"/>
              <w:left w:type="dxa" w:w="110"/>
              <w:bottom w:type="dxa" w:w="80"/>
              <w:right w:type="dxa" w:w="110"/>
            </w:tcMar>
            <w:vAlign w:val="center"/>
          </w:tcPr>
          <w:p>
            <w:r>
              <w:rPr>
                <w:rFonts w:ascii="Times New Roman" w:cs="Times New Roman" w:eastAsia="Times New Roman" w:hAnsi="Times New Roman"/>
                <w:b w:val="false"/>
                <w:bCs w:val="false"/>
                <w:color w:val="404040"/>
                <w:sz w:val="19"/>
                <w:szCs w:val="19"/>
              </w:rPr>
              <w:t xml:space="preserve">alba.vega@cloudora.io</w:t>
            </w:r>
          </w:p>
        </w:tc>
        <w:tc>
          <w:tcPr>
            <w:tcW w:type="pct" w:w="50%"/>
            <w:tcBorders>
              <w:top w:val="single" w:color="BFBFBF" w:sz="4"/>
              <w:left w:val="single" w:color="BFBFBF" w:sz="4"/>
              <w:bottom w:val="single" w:color="BFBFBF" w:sz="4"/>
              <w:right w:val="single" w:color="BFBFBF" w:sz="4"/>
            </w:tcBorders>
            <w:shd w:fill="F7F9FC" w:val="clear"/>
            <w:tcMar>
              <w:top w:type="dxa" w:w="80"/>
              <w:left w:type="dxa" w:w="110"/>
              <w:bottom w:type="dxa" w:w="80"/>
              <w:right w:type="dxa" w:w="110"/>
            </w:tcMar>
            <w:vAlign w:val="center"/>
          </w:tcPr>
          <w:p>
            <w:r>
              <w:rPr>
                <w:rFonts w:ascii="Times New Roman" w:cs="Times New Roman" w:eastAsia="Times New Roman" w:hAnsi="Times New Roman"/>
                <w:b w:val="false"/>
                <w:bCs w:val="false"/>
                <w:color w:val="404040"/>
                <w:sz w:val="19"/>
                <w:szCs w:val="19"/>
              </w:rPr>
              <w:t xml:space="preserve">kian.patel@cloudora.io</w:t>
            </w:r>
          </w:p>
        </w:tc>
      </w:tr>
      <w:tr>
        <w:tc>
          <w:tcPr>
            <w:tcW w:type="pct" w:w="50%"/>
            <w:tcBorders>
              <w:top w:val="single" w:color="BFBFBF" w:sz="4"/>
              <w:left w:val="single" w:color="BFBFBF" w:sz="4"/>
              <w:bottom w:val="single" w:color="BFBFBF" w:sz="4"/>
              <w:right w:val="single" w:color="BFBFBF" w:sz="4"/>
            </w:tcBorders>
            <w:shd w:fill="FFFFFF" w:val="clear"/>
            <w:tcMar>
              <w:top w:type="dxa" w:w="80"/>
              <w:left w:type="dxa" w:w="110"/>
              <w:bottom w:type="dxa" w:w="80"/>
              <w:right w:type="dxa" w:w="110"/>
            </w:tcMar>
            <w:vAlign w:val="center"/>
          </w:tcPr>
          <w:p>
            <w:r>
              <w:rPr>
                <w:rFonts w:ascii="Times New Roman" w:cs="Times New Roman" w:eastAsia="Times New Roman" w:hAnsi="Times New Roman"/>
                <w:b w:val="false"/>
                <w:bCs w:val="false"/>
                <w:color w:val="404040"/>
                <w:sz w:val="19"/>
                <w:szCs w:val="19"/>
              </w:rPr>
              <w:t xml:space="preserve">amelia.frost@cloudora.io</w:t>
            </w:r>
          </w:p>
        </w:tc>
        <w:tc>
          <w:tcPr>
            <w:tcW w:type="pct" w:w="50%"/>
            <w:tcBorders>
              <w:top w:val="single" w:color="BFBFBF" w:sz="4"/>
              <w:left w:val="single" w:color="BFBFBF" w:sz="4"/>
              <w:bottom w:val="single" w:color="BFBFBF" w:sz="4"/>
              <w:right w:val="single" w:color="BFBFBF" w:sz="4"/>
            </w:tcBorders>
            <w:shd w:fill="FFFFFF" w:val="clear"/>
            <w:tcMar>
              <w:top w:type="dxa" w:w="80"/>
              <w:left w:type="dxa" w:w="110"/>
              <w:bottom w:type="dxa" w:w="80"/>
              <w:right w:type="dxa" w:w="110"/>
            </w:tcMar>
            <w:vAlign w:val="center"/>
          </w:tcPr>
          <w:p>
            <w:r>
              <w:rPr>
                <w:rFonts w:ascii="Times New Roman" w:cs="Times New Roman" w:eastAsia="Times New Roman" w:hAnsi="Times New Roman"/>
                <w:b w:val="false"/>
                <w:bCs w:val="false"/>
                <w:color w:val="404040"/>
                <w:sz w:val="19"/>
                <w:szCs w:val="19"/>
              </w:rPr>
              <w:t xml:space="preserve">leah.stone@cloudora.io</w:t>
            </w:r>
          </w:p>
        </w:tc>
      </w:tr>
      <w:tr>
        <w:tc>
          <w:tcPr>
            <w:tcW w:type="pct" w:w="50%"/>
            <w:tcBorders>
              <w:top w:val="single" w:color="BFBFBF" w:sz="4"/>
              <w:left w:val="single" w:color="BFBFBF" w:sz="4"/>
              <w:bottom w:val="single" w:color="BFBFBF" w:sz="4"/>
              <w:right w:val="single" w:color="BFBFBF" w:sz="4"/>
            </w:tcBorders>
            <w:shd w:fill="F7F9FC" w:val="clear"/>
            <w:tcMar>
              <w:top w:type="dxa" w:w="80"/>
              <w:left w:type="dxa" w:w="110"/>
              <w:bottom w:type="dxa" w:w="80"/>
              <w:right w:type="dxa" w:w="110"/>
            </w:tcMar>
            <w:vAlign w:val="center"/>
          </w:tcPr>
          <w:p>
            <w:r>
              <w:rPr>
                <w:rFonts w:ascii="Times New Roman" w:cs="Times New Roman" w:eastAsia="Times New Roman" w:hAnsi="Times New Roman"/>
                <w:b w:val="false"/>
                <w:bCs w:val="false"/>
                <w:color w:val="404040"/>
                <w:sz w:val="19"/>
                <w:szCs w:val="19"/>
              </w:rPr>
              <w:t xml:space="preserve">aria.reid@cloudora.io</w:t>
            </w:r>
          </w:p>
        </w:tc>
        <w:tc>
          <w:tcPr>
            <w:tcW w:type="pct" w:w="50%"/>
            <w:tcBorders>
              <w:top w:val="single" w:color="BFBFBF" w:sz="4"/>
              <w:left w:val="single" w:color="BFBFBF" w:sz="4"/>
              <w:bottom w:val="single" w:color="BFBFBF" w:sz="4"/>
              <w:right w:val="single" w:color="BFBFBF" w:sz="4"/>
            </w:tcBorders>
            <w:shd w:fill="F7F9FC" w:val="clear"/>
            <w:tcMar>
              <w:top w:type="dxa" w:w="80"/>
              <w:left w:type="dxa" w:w="110"/>
              <w:bottom w:type="dxa" w:w="80"/>
              <w:right w:type="dxa" w:w="110"/>
            </w:tcMar>
            <w:vAlign w:val="center"/>
          </w:tcPr>
          <w:p>
            <w:r>
              <w:rPr>
                <w:rFonts w:ascii="Times New Roman" w:cs="Times New Roman" w:eastAsia="Times New Roman" w:hAnsi="Times New Roman"/>
                <w:b w:val="false"/>
                <w:bCs w:val="false"/>
                <w:color w:val="404040"/>
                <w:sz w:val="19"/>
                <w:szCs w:val="19"/>
              </w:rPr>
              <w:t xml:space="preserve">lena.voss@cloudora.io</w:t>
            </w:r>
          </w:p>
        </w:tc>
      </w:tr>
      <w:tr>
        <w:tc>
          <w:tcPr>
            <w:tcW w:type="pct" w:w="50%"/>
            <w:tcBorders>
              <w:top w:val="single" w:color="BFBFBF" w:sz="4"/>
              <w:left w:val="single" w:color="BFBFBF" w:sz="4"/>
              <w:bottom w:val="single" w:color="BFBFBF" w:sz="4"/>
              <w:right w:val="single" w:color="BFBFBF" w:sz="4"/>
            </w:tcBorders>
            <w:shd w:fill="FFFFFF" w:val="clear"/>
            <w:tcMar>
              <w:top w:type="dxa" w:w="80"/>
              <w:left w:type="dxa" w:w="110"/>
              <w:bottom w:type="dxa" w:w="80"/>
              <w:right w:type="dxa" w:w="110"/>
            </w:tcMar>
            <w:vAlign w:val="center"/>
          </w:tcPr>
          <w:p>
            <w:r>
              <w:rPr>
                <w:rFonts w:ascii="Times New Roman" w:cs="Times New Roman" w:eastAsia="Times New Roman" w:hAnsi="Times New Roman"/>
                <w:b w:val="false"/>
                <w:bCs w:val="false"/>
                <w:color w:val="404040"/>
                <w:sz w:val="19"/>
                <w:szCs w:val="19"/>
              </w:rPr>
              <w:t xml:space="preserve">arjun.mehta@cloudora.io</w:t>
            </w:r>
          </w:p>
        </w:tc>
        <w:tc>
          <w:tcPr>
            <w:tcW w:type="pct" w:w="50%"/>
            <w:tcBorders>
              <w:top w:val="single" w:color="BFBFBF" w:sz="4"/>
              <w:left w:val="single" w:color="BFBFBF" w:sz="4"/>
              <w:bottom w:val="single" w:color="BFBFBF" w:sz="4"/>
              <w:right w:val="single" w:color="BFBFBF" w:sz="4"/>
            </w:tcBorders>
            <w:shd w:fill="FFFFFF" w:val="clear"/>
            <w:tcMar>
              <w:top w:type="dxa" w:w="80"/>
              <w:left w:type="dxa" w:w="110"/>
              <w:bottom w:type="dxa" w:w="80"/>
              <w:right w:type="dxa" w:w="110"/>
            </w:tcMar>
            <w:vAlign w:val="center"/>
          </w:tcPr>
          <w:p>
            <w:r>
              <w:rPr>
                <w:rFonts w:ascii="Times New Roman" w:cs="Times New Roman" w:eastAsia="Times New Roman" w:hAnsi="Times New Roman"/>
                <w:b w:val="false"/>
                <w:bCs w:val="false"/>
                <w:color w:val="404040"/>
                <w:sz w:val="19"/>
                <w:szCs w:val="19"/>
              </w:rPr>
              <w:t xml:space="preserve">liam.doyle@cloudora.io</w:t>
            </w:r>
          </w:p>
        </w:tc>
      </w:tr>
      <w:tr>
        <w:tc>
          <w:tcPr>
            <w:tcW w:type="pct" w:w="50%"/>
            <w:tcBorders>
              <w:top w:val="single" w:color="BFBFBF" w:sz="4"/>
              <w:left w:val="single" w:color="BFBFBF" w:sz="4"/>
              <w:bottom w:val="single" w:color="BFBFBF" w:sz="4"/>
              <w:right w:val="single" w:color="BFBFBF" w:sz="4"/>
            </w:tcBorders>
            <w:shd w:fill="F7F9FC" w:val="clear"/>
            <w:tcMar>
              <w:top w:type="dxa" w:w="80"/>
              <w:left w:type="dxa" w:w="110"/>
              <w:bottom w:type="dxa" w:w="80"/>
              <w:right w:type="dxa" w:w="110"/>
            </w:tcMar>
            <w:vAlign w:val="center"/>
          </w:tcPr>
          <w:p>
            <w:r>
              <w:rPr>
                <w:rFonts w:ascii="Times New Roman" w:cs="Times New Roman" w:eastAsia="Times New Roman" w:hAnsi="Times New Roman"/>
                <w:b w:val="false"/>
                <w:bCs w:val="false"/>
                <w:color w:val="404040"/>
                <w:sz w:val="19"/>
                <w:szCs w:val="19"/>
              </w:rPr>
              <w:t xml:space="preserve">cole.burke@cloudora.io</w:t>
            </w:r>
          </w:p>
        </w:tc>
        <w:tc>
          <w:tcPr>
            <w:tcW w:type="pct" w:w="50%"/>
            <w:tcBorders>
              <w:top w:val="single" w:color="BFBFBF" w:sz="4"/>
              <w:left w:val="single" w:color="BFBFBF" w:sz="4"/>
              <w:bottom w:val="single" w:color="BFBFBF" w:sz="4"/>
              <w:right w:val="single" w:color="BFBFBF" w:sz="4"/>
            </w:tcBorders>
            <w:shd w:fill="F7F9FC" w:val="clear"/>
            <w:tcMar>
              <w:top w:type="dxa" w:w="80"/>
              <w:left w:type="dxa" w:w="110"/>
              <w:bottom w:type="dxa" w:w="80"/>
              <w:right w:type="dxa" w:w="110"/>
            </w:tcMar>
            <w:vAlign w:val="center"/>
          </w:tcPr>
          <w:p>
            <w:r>
              <w:rPr>
                <w:rFonts w:ascii="Times New Roman" w:cs="Times New Roman" w:eastAsia="Times New Roman" w:hAnsi="Times New Roman"/>
                <w:b w:val="false"/>
                <w:bCs w:val="false"/>
                <w:color w:val="404040"/>
                <w:sz w:val="19"/>
                <w:szCs w:val="19"/>
              </w:rPr>
              <w:t xml:space="preserve">lucas.ford@cloudora.io</w:t>
            </w:r>
          </w:p>
        </w:tc>
      </w:tr>
      <w:tr>
        <w:tc>
          <w:tcPr>
            <w:tcW w:type="pct" w:w="50%"/>
            <w:tcBorders>
              <w:top w:val="single" w:color="BFBFBF" w:sz="4"/>
              <w:left w:val="single" w:color="BFBFBF" w:sz="4"/>
              <w:bottom w:val="single" w:color="BFBFBF" w:sz="4"/>
              <w:right w:val="single" w:color="BFBFBF" w:sz="4"/>
            </w:tcBorders>
            <w:shd w:fill="FFFFFF" w:val="clear"/>
            <w:tcMar>
              <w:top w:type="dxa" w:w="80"/>
              <w:left w:type="dxa" w:w="110"/>
              <w:bottom w:type="dxa" w:w="80"/>
              <w:right w:type="dxa" w:w="110"/>
            </w:tcMar>
            <w:vAlign w:val="center"/>
          </w:tcPr>
          <w:p>
            <w:r>
              <w:rPr>
                <w:rFonts w:ascii="Times New Roman" w:cs="Times New Roman" w:eastAsia="Times New Roman" w:hAnsi="Times New Roman"/>
                <w:b w:val="false"/>
                <w:bCs w:val="false"/>
                <w:color w:val="404040"/>
                <w:sz w:val="19"/>
                <w:szCs w:val="19"/>
              </w:rPr>
              <w:t xml:space="preserve">daniel.reeve@cloudora.io</w:t>
            </w:r>
          </w:p>
        </w:tc>
        <w:tc>
          <w:tcPr>
            <w:tcW w:type="pct" w:w="50%"/>
            <w:tcBorders>
              <w:top w:val="single" w:color="BFBFBF" w:sz="4"/>
              <w:left w:val="single" w:color="BFBFBF" w:sz="4"/>
              <w:bottom w:val="single" w:color="BFBFBF" w:sz="4"/>
              <w:right w:val="single" w:color="BFBFBF" w:sz="4"/>
            </w:tcBorders>
            <w:shd w:fill="FFFFFF" w:val="clear"/>
            <w:tcMar>
              <w:top w:type="dxa" w:w="80"/>
              <w:left w:type="dxa" w:w="110"/>
              <w:bottom w:type="dxa" w:w="80"/>
              <w:right w:type="dxa" w:w="110"/>
            </w:tcMar>
            <w:vAlign w:val="center"/>
          </w:tcPr>
          <w:p>
            <w:r>
              <w:rPr>
                <w:rFonts w:ascii="Times New Roman" w:cs="Times New Roman" w:eastAsia="Times New Roman" w:hAnsi="Times New Roman"/>
                <w:b w:val="false"/>
                <w:bCs w:val="false"/>
                <w:color w:val="404040"/>
                <w:sz w:val="19"/>
                <w:szCs w:val="19"/>
              </w:rPr>
              <w:t xml:space="preserve">mira.shah@cloudora.io</w:t>
            </w:r>
          </w:p>
        </w:tc>
      </w:tr>
      <w:tr>
        <w:tc>
          <w:tcPr>
            <w:tcW w:type="pct" w:w="50%"/>
            <w:tcBorders>
              <w:top w:val="single" w:color="BFBFBF" w:sz="4"/>
              <w:left w:val="single" w:color="BFBFBF" w:sz="4"/>
              <w:bottom w:val="single" w:color="BFBFBF" w:sz="4"/>
              <w:right w:val="single" w:color="BFBFBF" w:sz="4"/>
            </w:tcBorders>
            <w:shd w:fill="F7F9FC" w:val="clear"/>
            <w:tcMar>
              <w:top w:type="dxa" w:w="80"/>
              <w:left w:type="dxa" w:w="110"/>
              <w:bottom w:type="dxa" w:w="80"/>
              <w:right w:type="dxa" w:w="110"/>
            </w:tcMar>
            <w:vAlign w:val="center"/>
          </w:tcPr>
          <w:p>
            <w:r>
              <w:rPr>
                <w:rFonts w:ascii="Times New Roman" w:cs="Times New Roman" w:eastAsia="Times New Roman" w:hAnsi="Times New Roman"/>
                <w:b w:val="false"/>
                <w:bCs w:val="false"/>
                <w:color w:val="404040"/>
                <w:sz w:val="19"/>
                <w:szCs w:val="19"/>
              </w:rPr>
              <w:t xml:space="preserve">dean.page@cloudora.io</w:t>
            </w:r>
          </w:p>
        </w:tc>
        <w:tc>
          <w:tcPr>
            <w:tcW w:type="pct" w:w="50%"/>
            <w:tcBorders>
              <w:top w:val="single" w:color="BFBFBF" w:sz="4"/>
              <w:left w:val="single" w:color="BFBFBF" w:sz="4"/>
              <w:bottom w:val="single" w:color="BFBFBF" w:sz="4"/>
              <w:right w:val="single" w:color="BFBFBF" w:sz="4"/>
            </w:tcBorders>
            <w:shd w:fill="F7F9FC" w:val="clear"/>
            <w:tcMar>
              <w:top w:type="dxa" w:w="80"/>
              <w:left w:type="dxa" w:w="110"/>
              <w:bottom w:type="dxa" w:w="80"/>
              <w:right w:type="dxa" w:w="110"/>
            </w:tcMar>
            <w:vAlign w:val="center"/>
          </w:tcPr>
          <w:p>
            <w:r>
              <w:rPr>
                <w:rFonts w:ascii="Times New Roman" w:cs="Times New Roman" w:eastAsia="Times New Roman" w:hAnsi="Times New Roman"/>
                <w:b w:val="false"/>
                <w:bCs w:val="false"/>
                <w:color w:val="404040"/>
                <w:sz w:val="19"/>
                <w:szCs w:val="19"/>
              </w:rPr>
              <w:t xml:space="preserve">noah.bishop@cloudora.io</w:t>
            </w:r>
          </w:p>
        </w:tc>
      </w:tr>
      <w:tr>
        <w:tc>
          <w:tcPr>
            <w:tcW w:type="pct" w:w="50%"/>
            <w:tcBorders>
              <w:top w:val="single" w:color="BFBFBF" w:sz="4"/>
              <w:left w:val="single" w:color="BFBFBF" w:sz="4"/>
              <w:bottom w:val="single" w:color="BFBFBF" w:sz="4"/>
              <w:right w:val="single" w:color="BFBFBF" w:sz="4"/>
            </w:tcBorders>
            <w:shd w:fill="FFFFFF" w:val="clear"/>
            <w:tcMar>
              <w:top w:type="dxa" w:w="80"/>
              <w:left w:type="dxa" w:w="110"/>
              <w:bottom w:type="dxa" w:w="80"/>
              <w:right w:type="dxa" w:w="110"/>
            </w:tcMar>
            <w:vAlign w:val="center"/>
          </w:tcPr>
          <w:p>
            <w:r>
              <w:rPr>
                <w:rFonts w:ascii="Times New Roman" w:cs="Times New Roman" w:eastAsia="Times New Roman" w:hAnsi="Times New Roman"/>
                <w:b w:val="false"/>
                <w:bCs w:val="false"/>
                <w:color w:val="404040"/>
                <w:sz w:val="19"/>
                <w:szCs w:val="19"/>
              </w:rPr>
              <w:t xml:space="preserve">ethan.wells@cloudora.io</w:t>
            </w:r>
          </w:p>
        </w:tc>
        <w:tc>
          <w:tcPr>
            <w:tcW w:type="pct" w:w="50%"/>
            <w:tcBorders>
              <w:top w:val="single" w:color="BFBFBF" w:sz="4"/>
              <w:left w:val="single" w:color="BFBFBF" w:sz="4"/>
              <w:bottom w:val="single" w:color="BFBFBF" w:sz="4"/>
              <w:right w:val="single" w:color="BFBFBF" w:sz="4"/>
            </w:tcBorders>
            <w:shd w:fill="FFFFFF" w:val="clear"/>
            <w:tcMar>
              <w:top w:type="dxa" w:w="80"/>
              <w:left w:type="dxa" w:w="110"/>
              <w:bottom w:type="dxa" w:w="80"/>
              <w:right w:type="dxa" w:w="110"/>
            </w:tcMar>
            <w:vAlign w:val="center"/>
          </w:tcPr>
          <w:p>
            <w:r>
              <w:rPr>
                <w:rFonts w:ascii="Times New Roman" w:cs="Times New Roman" w:eastAsia="Times New Roman" w:hAnsi="Times New Roman"/>
                <w:b w:val="false"/>
                <w:bCs w:val="false"/>
                <w:color w:val="404040"/>
                <w:sz w:val="19"/>
                <w:szCs w:val="19"/>
              </w:rPr>
              <w:t xml:space="preserve">olivia.kaur@cloudora.io</w:t>
            </w:r>
          </w:p>
        </w:tc>
      </w:tr>
      <w:tr>
        <w:tc>
          <w:tcPr>
            <w:tcW w:type="pct" w:w="50%"/>
            <w:tcBorders>
              <w:top w:val="single" w:color="BFBFBF" w:sz="4"/>
              <w:left w:val="single" w:color="BFBFBF" w:sz="4"/>
              <w:bottom w:val="single" w:color="BFBFBF" w:sz="4"/>
              <w:right w:val="single" w:color="BFBFBF" w:sz="4"/>
            </w:tcBorders>
            <w:shd w:fill="F7F9FC" w:val="clear"/>
            <w:tcMar>
              <w:top w:type="dxa" w:w="80"/>
              <w:left w:type="dxa" w:w="110"/>
              <w:bottom w:type="dxa" w:w="80"/>
              <w:right w:type="dxa" w:w="110"/>
            </w:tcMar>
            <w:vAlign w:val="center"/>
          </w:tcPr>
          <w:p>
            <w:r>
              <w:rPr>
                <w:rFonts w:ascii="Times New Roman" w:cs="Times New Roman" w:eastAsia="Times New Roman" w:hAnsi="Times New Roman"/>
                <w:b w:val="false"/>
                <w:bCs w:val="false"/>
                <w:color w:val="404040"/>
                <w:sz w:val="19"/>
                <w:szCs w:val="19"/>
              </w:rPr>
              <w:t xml:space="preserve">felix.hart@cloudora.io</w:t>
            </w:r>
          </w:p>
        </w:tc>
        <w:tc>
          <w:tcPr>
            <w:tcW w:type="pct" w:w="50%"/>
            <w:tcBorders>
              <w:top w:val="single" w:color="BFBFBF" w:sz="4"/>
              <w:left w:val="single" w:color="BFBFBF" w:sz="4"/>
              <w:bottom w:val="single" w:color="BFBFBF" w:sz="4"/>
              <w:right w:val="single" w:color="BFBFBF" w:sz="4"/>
            </w:tcBorders>
            <w:shd w:fill="F7F9FC" w:val="clear"/>
            <w:tcMar>
              <w:top w:type="dxa" w:w="80"/>
              <w:left w:type="dxa" w:w="110"/>
              <w:bottom w:type="dxa" w:w="80"/>
              <w:right w:type="dxa" w:w="110"/>
            </w:tcMar>
            <w:vAlign w:val="center"/>
          </w:tcPr>
          <w:p>
            <w:r>
              <w:rPr>
                <w:rFonts w:ascii="Times New Roman" w:cs="Times New Roman" w:eastAsia="Times New Roman" w:hAnsi="Times New Roman"/>
                <w:b w:val="false"/>
                <w:bCs w:val="false"/>
                <w:color w:val="404040"/>
                <w:sz w:val="19"/>
                <w:szCs w:val="19"/>
              </w:rPr>
              <w:t xml:space="preserve">omar.farah@cloudora.io</w:t>
            </w:r>
          </w:p>
        </w:tc>
      </w:tr>
      <w:tr>
        <w:tc>
          <w:tcPr>
            <w:tcW w:type="pct" w:w="50%"/>
            <w:tcBorders>
              <w:top w:val="single" w:color="BFBFBF" w:sz="4"/>
              <w:left w:val="single" w:color="BFBFBF" w:sz="4"/>
              <w:bottom w:val="single" w:color="BFBFBF" w:sz="4"/>
              <w:right w:val="single" w:color="BFBFBF" w:sz="4"/>
            </w:tcBorders>
            <w:shd w:fill="FFFFFF" w:val="clear"/>
            <w:tcMar>
              <w:top w:type="dxa" w:w="80"/>
              <w:left w:type="dxa" w:w="110"/>
              <w:bottom w:type="dxa" w:w="80"/>
              <w:right w:type="dxa" w:w="110"/>
            </w:tcMar>
            <w:vAlign w:val="center"/>
          </w:tcPr>
          <w:p>
            <w:r>
              <w:rPr>
                <w:rFonts w:ascii="Times New Roman" w:cs="Times New Roman" w:eastAsia="Times New Roman" w:hAnsi="Times New Roman"/>
                <w:b w:val="false"/>
                <w:bCs w:val="false"/>
                <w:color w:val="404040"/>
                <w:sz w:val="19"/>
                <w:szCs w:val="19"/>
              </w:rPr>
              <w:t xml:space="preserve">finn.gale@cloudora.io</w:t>
            </w:r>
          </w:p>
        </w:tc>
        <w:tc>
          <w:tcPr>
            <w:tcW w:type="pct" w:w="50%"/>
            <w:tcBorders>
              <w:top w:val="single" w:color="BFBFBF" w:sz="4"/>
              <w:left w:val="single" w:color="BFBFBF" w:sz="4"/>
              <w:bottom w:val="single" w:color="BFBFBF" w:sz="4"/>
              <w:right w:val="single" w:color="BFBFBF" w:sz="4"/>
            </w:tcBorders>
            <w:shd w:fill="FFFFFF" w:val="clear"/>
            <w:tcMar>
              <w:top w:type="dxa" w:w="80"/>
              <w:left w:type="dxa" w:w="110"/>
              <w:bottom w:type="dxa" w:w="80"/>
              <w:right w:type="dxa" w:w="110"/>
            </w:tcMar>
            <w:vAlign w:val="center"/>
          </w:tcPr>
          <w:p>
            <w:r>
              <w:rPr>
                <w:rFonts w:ascii="Times New Roman" w:cs="Times New Roman" w:eastAsia="Times New Roman" w:hAnsi="Times New Roman"/>
                <w:b w:val="false"/>
                <w:bCs w:val="false"/>
                <w:color w:val="404040"/>
                <w:sz w:val="19"/>
                <w:szCs w:val="19"/>
              </w:rPr>
              <w:t xml:space="preserve">priya.nair@cloudora.io</w:t>
            </w:r>
          </w:p>
        </w:tc>
      </w:tr>
      <w:tr>
        <w:tc>
          <w:tcPr>
            <w:tcW w:type="pct" w:w="50%"/>
            <w:tcBorders>
              <w:top w:val="single" w:color="BFBFBF" w:sz="4"/>
              <w:left w:val="single" w:color="BFBFBF" w:sz="4"/>
              <w:bottom w:val="single" w:color="BFBFBF" w:sz="4"/>
              <w:right w:val="single" w:color="BFBFBF" w:sz="4"/>
            </w:tcBorders>
            <w:shd w:fill="F7F9FC" w:val="clear"/>
            <w:tcMar>
              <w:top w:type="dxa" w:w="80"/>
              <w:left w:type="dxa" w:w="110"/>
              <w:bottom w:type="dxa" w:w="80"/>
              <w:right w:type="dxa" w:w="110"/>
            </w:tcMar>
            <w:vAlign w:val="center"/>
          </w:tcPr>
          <w:p>
            <w:r>
              <w:rPr>
                <w:rFonts w:ascii="Times New Roman" w:cs="Times New Roman" w:eastAsia="Times New Roman" w:hAnsi="Times New Roman"/>
                <w:b w:val="false"/>
                <w:bCs w:val="false"/>
                <w:color w:val="404040"/>
                <w:sz w:val="19"/>
                <w:szCs w:val="19"/>
              </w:rPr>
              <w:t xml:space="preserve">gwen.muir@cloudora.io</w:t>
            </w:r>
          </w:p>
        </w:tc>
        <w:tc>
          <w:tcPr>
            <w:tcW w:type="pct" w:w="50%"/>
            <w:tcBorders>
              <w:top w:val="single" w:color="BFBFBF" w:sz="4"/>
              <w:left w:val="single" w:color="BFBFBF" w:sz="4"/>
              <w:bottom w:val="single" w:color="BFBFBF" w:sz="4"/>
              <w:right w:val="single" w:color="BFBFBF" w:sz="4"/>
            </w:tcBorders>
            <w:shd w:fill="F7F9FC" w:val="clear"/>
            <w:tcMar>
              <w:top w:type="dxa" w:w="80"/>
              <w:left w:type="dxa" w:w="110"/>
              <w:bottom w:type="dxa" w:w="80"/>
              <w:right w:type="dxa" w:w="110"/>
            </w:tcMar>
            <w:vAlign w:val="center"/>
          </w:tcPr>
          <w:p>
            <w:r>
              <w:rPr>
                <w:rFonts w:ascii="Times New Roman" w:cs="Times New Roman" w:eastAsia="Times New Roman" w:hAnsi="Times New Roman"/>
                <w:b w:val="false"/>
                <w:bCs w:val="false"/>
                <w:color w:val="404040"/>
                <w:sz w:val="19"/>
                <w:szCs w:val="19"/>
              </w:rPr>
              <w:t xml:space="preserve">rhys.owen@cloudora.io</w:t>
            </w:r>
          </w:p>
        </w:tc>
      </w:tr>
      <w:tr>
        <w:tc>
          <w:tcPr>
            <w:tcW w:type="pct" w:w="50%"/>
            <w:tcBorders>
              <w:top w:val="single" w:color="BFBFBF" w:sz="4"/>
              <w:left w:val="single" w:color="BFBFBF" w:sz="4"/>
              <w:bottom w:val="single" w:color="BFBFBF" w:sz="4"/>
              <w:right w:val="single" w:color="BFBFBF" w:sz="4"/>
            </w:tcBorders>
            <w:shd w:fill="FFFFFF" w:val="clear"/>
            <w:tcMar>
              <w:top w:type="dxa" w:w="80"/>
              <w:left w:type="dxa" w:w="110"/>
              <w:bottom w:type="dxa" w:w="80"/>
              <w:right w:type="dxa" w:w="110"/>
            </w:tcMar>
            <w:vAlign w:val="center"/>
          </w:tcPr>
          <w:p>
            <w:r>
              <w:rPr>
                <w:rFonts w:ascii="Times New Roman" w:cs="Times New Roman" w:eastAsia="Times New Roman" w:hAnsi="Times New Roman"/>
                <w:b w:val="false"/>
                <w:bCs w:val="false"/>
                <w:color w:val="404040"/>
                <w:sz w:val="19"/>
                <w:szCs w:val="19"/>
              </w:rPr>
              <w:t xml:space="preserve">isla.grant@cloudora.io</w:t>
            </w:r>
          </w:p>
        </w:tc>
        <w:tc>
          <w:tcPr>
            <w:tcW w:type="pct" w:w="50%"/>
            <w:tcBorders>
              <w:top w:val="single" w:color="BFBFBF" w:sz="4"/>
              <w:left w:val="single" w:color="BFBFBF" w:sz="4"/>
              <w:bottom w:val="single" w:color="BFBFBF" w:sz="4"/>
              <w:right w:val="single" w:color="BFBFBF" w:sz="4"/>
            </w:tcBorders>
            <w:shd w:fill="FFFFFF" w:val="clear"/>
            <w:tcMar>
              <w:top w:type="dxa" w:w="80"/>
              <w:left w:type="dxa" w:w="110"/>
              <w:bottom w:type="dxa" w:w="80"/>
              <w:right w:type="dxa" w:w="110"/>
            </w:tcMar>
            <w:vAlign w:val="center"/>
          </w:tcPr>
          <w:p>
            <w:r>
              <w:rPr>
                <w:rFonts w:ascii="Times New Roman" w:cs="Times New Roman" w:eastAsia="Times New Roman" w:hAnsi="Times New Roman"/>
                <w:b w:val="false"/>
                <w:bCs w:val="false"/>
                <w:color w:val="404040"/>
                <w:sz w:val="19"/>
                <w:szCs w:val="19"/>
              </w:rPr>
              <w:t xml:space="preserve">sofia.marino@cloudora.io</w:t>
            </w:r>
          </w:p>
        </w:tc>
      </w:tr>
      <w:tr>
        <w:tc>
          <w:tcPr>
            <w:tcW w:type="pct" w:w="50%"/>
            <w:tcBorders>
              <w:top w:val="single" w:color="BFBFBF" w:sz="4"/>
              <w:left w:val="single" w:color="BFBFBF" w:sz="4"/>
              <w:bottom w:val="single" w:color="BFBFBF" w:sz="4"/>
              <w:right w:val="single" w:color="BFBFBF" w:sz="4"/>
            </w:tcBorders>
            <w:shd w:fill="F7F9FC" w:val="clear"/>
            <w:tcMar>
              <w:top w:type="dxa" w:w="80"/>
              <w:left w:type="dxa" w:w="110"/>
              <w:bottom w:type="dxa" w:w="80"/>
              <w:right w:type="dxa" w:w="110"/>
            </w:tcMar>
            <w:vAlign w:val="center"/>
          </w:tcPr>
          <w:p>
            <w:r>
              <w:rPr>
                <w:rFonts w:ascii="Times New Roman" w:cs="Times New Roman" w:eastAsia="Times New Roman" w:hAnsi="Times New Roman"/>
                <w:b w:val="false"/>
                <w:bCs w:val="false"/>
                <w:color w:val="404040"/>
                <w:sz w:val="19"/>
                <w:szCs w:val="19"/>
              </w:rPr>
              <w:t xml:space="preserve">james.holt@cloudora.io</w:t>
            </w:r>
          </w:p>
        </w:tc>
        <w:tc>
          <w:tcPr>
            <w:tcW w:type="pct" w:w="50%"/>
            <w:tcBorders>
              <w:top w:val="single" w:color="BFBFBF" w:sz="4"/>
              <w:left w:val="single" w:color="BFBFBF" w:sz="4"/>
              <w:bottom w:val="single" w:color="BFBFBF" w:sz="4"/>
              <w:right w:val="single" w:color="BFBFBF" w:sz="4"/>
            </w:tcBorders>
            <w:shd w:fill="F7F9FC" w:val="clear"/>
            <w:tcMar>
              <w:top w:type="dxa" w:w="80"/>
              <w:left w:type="dxa" w:w="110"/>
              <w:bottom w:type="dxa" w:w="80"/>
              <w:right w:type="dxa" w:w="110"/>
            </w:tcMar>
            <w:vAlign w:val="center"/>
          </w:tcPr>
          <w:p>
            <w:r>
              <w:rPr>
                <w:rFonts w:ascii="Times New Roman" w:cs="Times New Roman" w:eastAsia="Times New Roman" w:hAnsi="Times New Roman"/>
                <w:b w:val="false"/>
                <w:bCs w:val="false"/>
                <w:color w:val="404040"/>
                <w:sz w:val="19"/>
                <w:szCs w:val="19"/>
              </w:rPr>
              <w:t xml:space="preserve">tara.kemp@cloudora.io</w:t>
            </w:r>
          </w:p>
        </w:tc>
      </w:tr>
      <w:tr>
        <w:tc>
          <w:tcPr>
            <w:tcW w:type="pct" w:w="50%"/>
            <w:tcBorders>
              <w:top w:val="single" w:color="BFBFBF" w:sz="4"/>
              <w:left w:val="single" w:color="BFBFBF" w:sz="4"/>
              <w:bottom w:val="single" w:color="BFBFBF" w:sz="4"/>
              <w:right w:val="single" w:color="BFBFBF" w:sz="4"/>
            </w:tcBorders>
            <w:shd w:fill="FFFFFF" w:val="clear"/>
            <w:tcMar>
              <w:top w:type="dxa" w:w="80"/>
              <w:left w:type="dxa" w:w="110"/>
              <w:bottom w:type="dxa" w:w="80"/>
              <w:right w:type="dxa" w:w="110"/>
            </w:tcMar>
            <w:vAlign w:val="center"/>
          </w:tcPr>
          <w:p>
            <w:r>
              <w:rPr>
                <w:rFonts w:ascii="Times New Roman" w:cs="Times New Roman" w:eastAsia="Times New Roman" w:hAnsi="Times New Roman"/>
                <w:b w:val="false"/>
                <w:bCs w:val="false"/>
                <w:color w:val="404040"/>
                <w:sz w:val="19"/>
                <w:szCs w:val="19"/>
              </w:rPr>
              <w:t xml:space="preserve">joel.kerr@cloudora.io</w:t>
            </w:r>
          </w:p>
        </w:tc>
        <w:tc>
          <w:tcPr>
            <w:tcW w:type="pct" w:w="50%"/>
            <w:tcBorders>
              <w:top w:val="single" w:color="BFBFBF" w:sz="4"/>
              <w:left w:val="single" w:color="BFBFBF" w:sz="4"/>
              <w:bottom w:val="single" w:color="BFBFBF" w:sz="4"/>
              <w:right w:val="single" w:color="BFBFBF" w:sz="4"/>
            </w:tcBorders>
            <w:shd w:fill="FFFFFF" w:val="clear"/>
            <w:tcMar>
              <w:top w:type="dxa" w:w="80"/>
              <w:left w:type="dxa" w:w="110"/>
              <w:bottom w:type="dxa" w:w="80"/>
              <w:right w:type="dxa" w:w="110"/>
            </w:tcMar>
            <w:vAlign w:val="center"/>
          </w:tcPr>
          <w:p>
            <w:r>
              <w:rPr>
                <w:rFonts w:ascii="Times New Roman" w:cs="Times New Roman" w:eastAsia="Times New Roman" w:hAnsi="Times New Roman"/>
                <w:b w:val="false"/>
                <w:bCs w:val="false"/>
                <w:color w:val="404040"/>
                <w:sz w:val="19"/>
                <w:szCs w:val="19"/>
              </w:rPr>
              <w:t xml:space="preserve">zara.aziz@cloudora.io</w:t>
            </w:r>
          </w:p>
        </w:tc>
      </w:tr>
    </w:tbl>
    <w:p>
      <w:pPr>
        <w:pStyle w:val="Heading2"/>
        <w:spacing w:after="140" w:before="320"/>
      </w:pPr>
      <w:r>
        <w:rPr>
          <w:rFonts w:ascii="Times New Roman" w:cs="Times New Roman" w:eastAsia="Times New Roman" w:hAnsi="Times New Roman"/>
          <w:b/>
          <w:bCs/>
          <w:color w:val="1F3864"/>
          <w:sz w:val="25"/>
          <w:szCs w:val="25"/>
        </w:rPr>
        <w:t xml:space="preserve">B.4 Targeted, fully protected by EOP — no action beyond awareness (4)</w:t>
      </w:r>
    </w:p>
    <w:p>
      <w:pPr>
        <w:spacing w:after="160" w:line="276"/>
        <w:jc w:val="both"/>
      </w:pPr>
      <w:r>
        <w:rPr>
          <w:rFonts w:ascii="Times New Roman" w:cs="Times New Roman" w:eastAsia="Times New Roman" w:hAnsi="Times New Roman"/>
          <w:color w:val="404040"/>
          <w:sz w:val="22"/>
          <w:szCs w:val="22"/>
        </w:rPr>
        <w:t xml:space="preserve">emma.hayes@cloudora.io, maya.chen@cloudora.io, nina.cole@cloudora.io, ruth.dean@cloudora.io — every copy sent to these accounts was quarantined; none reached the inbox.</w:t>
      </w:r>
    </w:p>
    <w:p>
      <w:r>
        <w:br w:type="page"/>
      </w:r>
    </w:p>
    <w:p>
      <w:pPr>
        <w:pStyle w:val="Heading1"/>
        <w:pBdr>
          <w:bottom w:val="single" w:color="1F3864" w:sz="6" w:space="4"/>
        </w:pBdr>
        <w:spacing w:after="200" w:before="480"/>
      </w:pPr>
      <w:r>
        <w:rPr>
          <w:rFonts w:ascii="Times New Roman" w:cs="Times New Roman" w:eastAsia="Times New Roman" w:hAnsi="Times New Roman"/>
          <w:b/>
          <w:bCs/>
          <w:color w:val="1F3864"/>
          <w:sz w:val="30"/>
          <w:szCs w:val="30"/>
        </w:rPr>
        <w:t xml:space="preserve">Appendix C — User Communications Drafts (Task 3)</w:t>
      </w:r>
    </w:p>
    <w:p>
      <w:pPr>
        <w:pStyle w:val="Heading2"/>
        <w:spacing w:after="140" w:before="320"/>
      </w:pPr>
      <w:r>
        <w:rPr>
          <w:rFonts w:ascii="Times New Roman" w:cs="Times New Roman" w:eastAsia="Times New Roman" w:hAnsi="Times New Roman"/>
          <w:b/>
          <w:bCs/>
          <w:color w:val="1F3864"/>
          <w:sz w:val="25"/>
          <w:szCs w:val="25"/>
        </w:rPr>
        <w:t xml:space="preserve">C.1 Near-miss group (received, did not click) — 30 recipients</w:t>
      </w:r>
    </w:p>
    <w:tbl>
      <w:tblPr>
        <w:tblW w:type="pct" w:w="100%"/>
        <w:tblBorders>
          <w:top w:val="single" w:color="1F3864" w:sz="6"/>
          <w:left w:val="single" w:color="1F3864" w:sz="6"/>
          <w:bottom w:val="single" w:color="1F3864" w:sz="6"/>
          <w:right w:val="single" w:color="1F3864" w:sz="6"/>
          <w:insideH w:val="none" w:color="FFFFFF" w:sz="0"/>
          <w:insideV w:val="none" w:color="FFFFFF" w:sz="0"/>
        </w:tblBorders>
      </w:tblPr>
      <w:tblGrid>
        <w:gridCol w:w="100"/>
      </w:tblGrid>
      <w:tr>
        <w:tc>
          <w:tcPr>
            <w:tcW w:type="pct" w:w="100%"/>
            <w:shd w:fill="F7F9FC" w:val="clear"/>
            <w:tcMar>
              <w:top w:type="dxa" w:w="160"/>
              <w:left w:type="dxa" w:w="200"/>
              <w:bottom w:type="dxa" w:w="160"/>
              <w:right w:type="dxa" w:w="200"/>
            </w:tcMar>
          </w:tcPr>
          <w:p>
            <w:pPr>
              <w:spacing w:after="80"/>
            </w:pPr>
            <w:r>
              <w:rPr>
                <w:rFonts w:ascii="Times New Roman" w:cs="Times New Roman" w:eastAsia="Times New Roman" w:hAnsi="Times New Roman"/>
                <w:b/>
                <w:bCs/>
                <w:color w:val="1F3864"/>
                <w:sz w:val="22"/>
                <w:szCs w:val="22"/>
              </w:rPr>
              <w:t xml:space="preserve">Subject: Heads up: a fake ‘payroll update’ email is going around</w:t>
            </w:r>
          </w:p>
          <w:p>
            <w:pPr>
              <w:spacing w:after="40"/>
            </w:pPr>
            <w:r>
              <w:rPr>
                <w:rFonts w:ascii="Times New Roman" w:cs="Times New Roman" w:eastAsia="Times New Roman" w:hAnsi="Times New Roman"/>
                <w:color w:val="404040"/>
                <w:sz w:val="21"/>
                <w:szCs w:val="21"/>
              </w:rPr>
              <w:t xml:space="preserve">Hi all,</w:t>
            </w:r>
          </w:p>
          <w:p>
            <w:pPr>
              <w:spacing w:after="40"/>
            </w:pPr>
            <w:r>
              <w:rPr>
                <w:rFonts w:ascii="Times New Roman" w:cs="Times New Roman" w:eastAsia="Times New Roman" w:hAnsi="Times New Roman"/>
                <w:color w:val="404040"/>
                <w:sz w:val="21"/>
                <w:szCs w:val="21"/>
              </w:rPr>
              <w:t xml:space="preserve">This morning some of us received an email claiming to be from Cloudora HR, with the subject ‘Payroll update: action required’, asking you to confirm your payroll details on a website. It is not from us. It is a phishing email and we have removed it from mailboxes.</w:t>
            </w:r>
          </w:p>
          <w:p>
            <w:pPr>
              <w:spacing w:after="40"/>
            </w:pPr>
            <w:r>
              <w:rPr>
                <w:rFonts w:ascii="Times New Roman" w:cs="Times New Roman" w:eastAsia="Times New Roman" w:hAnsi="Times New Roman"/>
                <w:color w:val="404040"/>
                <w:sz w:val="21"/>
                <w:szCs w:val="21"/>
              </w:rPr>
              <w:t xml:space="preserve">You do not need to do anything. If you did click the link or entered any details, tell IT security straight away — you will not be in trouble, we just need to help you quickly.</w:t>
            </w:r>
          </w:p>
          <w:p>
            <w:pPr>
              <w:spacing w:after="40"/>
            </w:pPr>
            <w:r>
              <w:rPr>
                <w:rFonts w:ascii="Times New Roman" w:cs="Times New Roman" w:eastAsia="Times New Roman" w:hAnsi="Times New Roman"/>
                <w:color w:val="404040"/>
                <w:sz w:val="21"/>
                <w:szCs w:val="21"/>
              </w:rPr>
              <w:t xml:space="preserve">A reminder: Cloudora will never ask you to confirm your password or bank details through an email link. Payslips and bank details live in the HR portal, which you reach by signing in normally at myhr.cloudora.io.</w:t>
            </w:r>
          </w:p>
          <w:p>
            <w:pPr>
              <w:spacing w:after="40"/>
            </w:pPr>
            <w:r>
              <w:rPr>
                <w:rFonts w:ascii="Times New Roman" w:cs="Times New Roman" w:eastAsia="Times New Roman" w:hAnsi="Times New Roman"/>
                <w:color w:val="404040"/>
                <w:sz w:val="21"/>
                <w:szCs w:val="21"/>
              </w:rPr>
              <w:t xml:space="preserve">Thanks for staying sharp,</w:t>
            </w:r>
          </w:p>
          <w:p>
            <w:pPr>
              <w:spacing w:after="40"/>
            </w:pPr>
            <w:r>
              <w:rPr>
                <w:rFonts w:ascii="Times New Roman" w:cs="Times New Roman" w:eastAsia="Times New Roman" w:hAnsi="Times New Roman"/>
                <w:color w:val="404040"/>
                <w:sz w:val="21"/>
                <w:szCs w:val="21"/>
              </w:rPr>
              <w:t xml:space="preserve">Cloudora IT Security</w:t>
            </w:r>
          </w:p>
        </w:tc>
      </w:tr>
    </w:tbl>
    <w:p>
      <w:pPr>
        <w:spacing w:after="200"/>
      </w:pPr>
    </w:p>
    <w:p>
      <w:pPr>
        <w:pStyle w:val="Heading2"/>
        <w:spacing w:after="140" w:before="320"/>
      </w:pPr>
      <w:r>
        <w:rPr>
          <w:rFonts w:ascii="Times New Roman" w:cs="Times New Roman" w:eastAsia="Times New Roman" w:hAnsi="Times New Roman"/>
          <w:b/>
          <w:bCs/>
          <w:color w:val="1F3864"/>
          <w:sz w:val="25"/>
          <w:szCs w:val="25"/>
        </w:rPr>
        <w:t xml:space="preserve">C.2 Clicked-but-no-credentials group — 4 recipients, sent individually</w:t>
      </w:r>
    </w:p>
    <w:tbl>
      <w:tblPr>
        <w:tblW w:type="pct" w:w="100%"/>
        <w:tblBorders>
          <w:top w:val="single" w:color="1F3864" w:sz="6"/>
          <w:left w:val="single" w:color="1F3864" w:sz="6"/>
          <w:bottom w:val="single" w:color="1F3864" w:sz="6"/>
          <w:right w:val="single" w:color="1F3864" w:sz="6"/>
          <w:insideH w:val="none" w:color="FFFFFF" w:sz="0"/>
          <w:insideV w:val="none" w:color="FFFFFF" w:sz="0"/>
        </w:tblBorders>
      </w:tblPr>
      <w:tblGrid>
        <w:gridCol w:w="100"/>
      </w:tblGrid>
      <w:tr>
        <w:tc>
          <w:tcPr>
            <w:tcW w:type="pct" w:w="100%"/>
            <w:shd w:fill="F7F9FC" w:val="clear"/>
            <w:tcMar>
              <w:top w:type="dxa" w:w="160"/>
              <w:left w:type="dxa" w:w="200"/>
              <w:bottom w:type="dxa" w:w="160"/>
              <w:right w:type="dxa" w:w="200"/>
            </w:tcMar>
          </w:tcPr>
          <w:p>
            <w:pPr>
              <w:spacing w:after="80"/>
            </w:pPr>
            <w:r>
              <w:rPr>
                <w:rFonts w:ascii="Times New Roman" w:cs="Times New Roman" w:eastAsia="Times New Roman" w:hAnsi="Times New Roman"/>
                <w:b/>
                <w:bCs/>
                <w:color w:val="1F3864"/>
                <w:sz w:val="22"/>
                <w:szCs w:val="22"/>
              </w:rPr>
              <w:t xml:space="preserve">Direct, individual message</w:t>
            </w:r>
          </w:p>
          <w:p>
            <w:pPr>
              <w:spacing w:after="40"/>
            </w:pPr>
            <w:r>
              <w:rPr>
                <w:rFonts w:ascii="Times New Roman" w:cs="Times New Roman" w:eastAsia="Times New Roman" w:hAnsi="Times New Roman"/>
                <w:color w:val="404040"/>
                <w:sz w:val="21"/>
                <w:szCs w:val="21"/>
              </w:rPr>
              <w:t xml:space="preserve">You clicked a link in a phishing email this morning. As a precaution we are resetting your password now and you will be asked to sign in again.</w:t>
            </w:r>
          </w:p>
          <w:p>
            <w:pPr>
              <w:spacing w:after="40"/>
            </w:pPr>
            <w:r>
              <w:rPr>
                <w:rFonts w:ascii="Times New Roman" w:cs="Times New Roman" w:eastAsia="Times New Roman" w:hAnsi="Times New Roman"/>
                <w:color w:val="404040"/>
                <w:sz w:val="21"/>
                <w:szCs w:val="21"/>
              </w:rPr>
              <w:t xml:space="preserve">You do not appear to have entered any details, which is good. Please do not enter your Cloudora password on any site you reached from that email, and let us know if you did.</w:t>
            </w:r>
          </w:p>
        </w:tc>
      </w:tr>
    </w:tbl>
    <w:p>
      <w:pPr>
        <w:pStyle w:val="Heading1"/>
        <w:pBdr>
          <w:bottom w:val="single" w:color="1F3864" w:sz="6" w:space="4"/>
        </w:pBdr>
        <w:spacing w:after="200" w:before="480"/>
      </w:pPr>
      <w:r>
        <w:rPr>
          <w:rFonts w:ascii="Times New Roman" w:cs="Times New Roman" w:eastAsia="Times New Roman" w:hAnsi="Times New Roman"/>
          <w:b/>
          <w:bCs/>
          <w:color w:val="1F3864"/>
          <w:sz w:val="30"/>
          <w:szCs w:val="30"/>
        </w:rPr>
        <w:t xml:space="preserve">References</w:t>
      </w:r>
    </w:p>
    <w:p>
      <w:pPr>
        <w:pStyle w:val="ListParagraph"/>
        <w:numPr>
          <w:ilvl w:val="0"/>
          <w:numId w:val="3"/>
        </w:numPr>
        <w:spacing w:after="90"/>
      </w:pPr>
      <w:r>
        <w:rPr>
          <w:rFonts w:ascii="Times New Roman" w:cs="Times New Roman" w:eastAsia="Times New Roman" w:hAnsi="Times New Roman"/>
          <w:color w:val="404040"/>
          <w:sz w:val="22"/>
          <w:szCs w:val="22"/>
        </w:rPr>
        <w:t xml:space="preserve">MITRE ATT&amp;CK®, Enterprise Matrix — attack.mitre.org</w:t>
      </w:r>
    </w:p>
    <w:p>
      <w:pPr>
        <w:pStyle w:val="ListParagraph"/>
        <w:numPr>
          <w:ilvl w:val="0"/>
          <w:numId w:val="3"/>
        </w:numPr>
        <w:spacing w:after="90"/>
      </w:pPr>
      <w:r>
        <w:rPr>
          <w:rFonts w:ascii="Times New Roman" w:cs="Times New Roman" w:eastAsia="Times New Roman" w:hAnsi="Times New Roman"/>
          <w:color w:val="404040"/>
          <w:sz w:val="22"/>
          <w:szCs w:val="22"/>
        </w:rPr>
        <w:t xml:space="preserve">Microsoft Learn — Exchange Online message trace and Microsoft Entra ID sign-in log schema reference</w:t>
      </w:r>
    </w:p>
    <w:p>
      <w:pPr>
        <w:pStyle w:val="ListParagraph"/>
        <w:numPr>
          <w:ilvl w:val="0"/>
          <w:numId w:val="3"/>
        </w:numPr>
        <w:spacing w:after="90"/>
      </w:pPr>
      <w:r>
        <w:rPr>
          <w:rFonts w:ascii="Times New Roman" w:cs="Times New Roman" w:eastAsia="Times New Roman" w:hAnsi="Times New Roman"/>
          <w:color w:val="404040"/>
          <w:sz w:val="22"/>
          <w:szCs w:val="22"/>
        </w:rPr>
        <w:t xml:space="preserve">Microsoft Sentinel / Azure Data Explorer Kusto Query Language (KQL) documentation</w:t>
      </w:r>
    </w:p>
    <w:p>
      <w:pPr>
        <w:pStyle w:val="ListParagraph"/>
        <w:numPr>
          <w:ilvl w:val="0"/>
          <w:numId w:val="3"/>
        </w:numPr>
        <w:spacing w:after="90"/>
      </w:pPr>
      <w:r>
        <w:rPr>
          <w:rFonts w:ascii="Times New Roman" w:cs="Times New Roman" w:eastAsia="Times New Roman" w:hAnsi="Times New Roman"/>
          <w:color w:val="404040"/>
          <w:sz w:val="22"/>
          <w:szCs w:val="22"/>
        </w:rPr>
        <w:t xml:space="preserve">Training scenario and source data: ‘Cloudora Payroll Phishing Campaign’ project pack (MyFirstCyberJob / MyFirstHack)</w:t>
      </w:r>
    </w:p>
    <w:sectPr>
      <w:headerReference w:type="default" r:id="rId7"/>
      <w:footerReference w:type="default" r:id="rId8"/>
      <w:pgSz w:w="11906" w:h="16838" w:orient="portrait"/>
      <w:pgMar w:top="1350" w:right="1200" w:bottom="1350" w:left="12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BFBFBF" w:sz="4" w:space="4"/>
      </w:pBdr>
      <w:tabs>
        <w:tab w:val="right" w:pos="9026"/>
      </w:tabs>
    </w:pPr>
    <w:r>
      <w:rPr>
        <w:rFonts w:ascii="Times New Roman" w:cs="Times New Roman" w:eastAsia="Times New Roman" w:hAnsi="Times New Roman"/>
        <w:color w:val="404040"/>
        <w:sz w:val="16"/>
        <w:szCs w:val="16"/>
      </w:rPr>
      <w:t xml:space="preserve">Sai Nithish Sampath — Security Portfolio Project</w:t>
    </w:r>
    <w:r>
      <w:rPr>
        <w:rFonts w:ascii="Times New Roman" w:cs="Times New Roman" w:eastAsia="Times New Roman" w:hAnsi="Times New Roman"/>
        <w:color w:val="404040"/>
        <w:sz w:val="16"/>
        <w:szCs w:val="16"/>
      </w:rPr>
      <w:t xml:space="preserve">	Page </w:t>
    </w:r>
    <w:r>
      <w:rPr>
        <w:rFonts w:ascii="Times New Roman" w:cs="Times New Roman" w:eastAsia="Times New Roman" w:hAnsi="Times New Roman"/>
        <w:color w:val="404040"/>
        <w:sz w:val="16"/>
        <w:szCs w:val="16"/>
      </w:rPr>
      <w:fldChar w:fldCharType="begin"/>
      <w:instrText xml:space="preserve">PAGE</w:instrText>
      <w:fldChar w:fldCharType="separate"/>
      <w:fldChar w:fldCharType="end"/>
    </w:r>
    <w:r>
      <w:rPr>
        <w:rFonts w:ascii="Times New Roman" w:cs="Times New Roman" w:eastAsia="Times New Roman" w:hAnsi="Times New Roman"/>
        <w:color w:val="404040"/>
        <w:sz w:val="16"/>
        <w:szCs w:val="16"/>
      </w:rPr>
      <w:t xml:space="preserve"> of </w:t>
    </w:r>
    <w:r>
      <w:rPr>
        <w:rFonts w:ascii="Times New Roman" w:cs="Times New Roman" w:eastAsia="Times New Roman" w:hAnsi="Times New Roman"/>
        <w:color w:val="404040"/>
        <w:sz w:val="16"/>
        <w:szCs w:val="16"/>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BFBFBF" w:sz="4" w:space="4"/>
      </w:pBdr>
      <w:tabs>
        <w:tab w:val="right" w:pos="9026"/>
      </w:tabs>
    </w:pPr>
    <w:r>
      <w:rPr>
        <w:rFonts w:ascii="Times New Roman" w:cs="Times New Roman" w:eastAsia="Times New Roman" w:hAnsi="Times New Roman"/>
        <w:b/>
        <w:bCs/>
        <w:color w:val="1F3864"/>
        <w:sz w:val="16"/>
        <w:szCs w:val="16"/>
      </w:rPr>
      <w:t xml:space="preserve">CLOUDORA</w:t>
    </w:r>
    <w:r>
      <w:rPr>
        <w:rFonts w:ascii="Times New Roman" w:cs="Times New Roman" w:eastAsia="Times New Roman" w:hAnsi="Times New Roman"/>
        <w:color w:val="404040"/>
        <w:sz w:val="16"/>
        <w:szCs w:val="16"/>
      </w:rPr>
      <w:t xml:space="preserve">  |  Incident Response Report  |  CLD-IR-0002</w:t>
    </w:r>
    <w:r>
      <w:rPr>
        <w:rFonts w:ascii="Times New Roman" w:cs="Times New Roman" w:eastAsia="Times New Roman" w:hAnsi="Times New Roman"/>
        <w:b/>
        <w:bCs/>
        <w:color w:val="9C2A2A"/>
        <w:sz w:val="16"/>
        <w:szCs w:val="16"/>
      </w:rPr>
      <w:t xml:space="preserve">	TLP:AMBER — SIMULATED EXERCISE</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420" w:hanging="260"/>
      </w:pPr>
    </w:lvl>
  </w:abstractNum>
  <w:abstractNum w:abstractNumId="3" w15:restartNumberingAfterBreak="0">
    <w:multiLevelType w:val="hybridMultilevel"/>
    <w:lvl w:ilvl="0" w15:tentative="1">
      <w:start w:val="1"/>
      <w:numFmt w:val="decimal"/>
      <w:lvlText w:val="%1."/>
      <w:lvlJc w:val="left"/>
      <w:pPr>
        <w:ind w:left="420" w:hanging="260"/>
      </w:pPr>
    </w:lvl>
  </w:abstractNum>
  <w:num w:numId="1">
    <w:abstractNumId w:val="1"/>
    <w:lvlOverride w:ilvl="0">
      <w:startOverride w:val="1"/>
    </w:lvlOverride>
  </w:num>
  <w:num w:numId="2">
    <w:abstractNumId w:val="3"/>
    <w:lvlOverride w:ilvl="0">
      <w:startOverride w:val="1"/>
    </w:lvlOverride>
  </w:num>
  <w:num w:numId="3">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cs="Times New Roman" w:eastAsia="Times New Roman" w:hAnsi="Times New Roman"/>
        <w:color w:val="404040"/>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rFonts w:ascii="Times New Roman" w:cs="Times New Roman" w:eastAsia="Times New Roman" w:hAnsi="Times New Roman"/>
      <w:b/>
      <w:bCs/>
      <w:color w:val="1F3864"/>
      <w:sz w:val="30"/>
      <w:szCs w:val="30"/>
    </w:rPr>
  </w:style>
  <w:style w:type="paragraph" w:styleId="Heading2">
    <w:name w:val="Heading 2"/>
    <w:basedOn w:val="Normal"/>
    <w:next w:val="Normal"/>
    <w:qFormat/>
    <w:rPr>
      <w:rFonts w:ascii="Times New Roman" w:cs="Times New Roman" w:eastAsia="Times New Roman" w:hAnsi="Times New Roman"/>
      <w:b/>
      <w:bCs/>
      <w:color w:val="1F3864"/>
      <w:sz w:val="25"/>
      <w:szCs w:val="25"/>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Cloudora Incident Response Report — CLD-IR-0002</dc:title>
  <dc:creator>Sai Nithish Sampath</dc:creator>
  <dc:description>Simulated SOC incident response report — payroll phishing campaign</dc:description>
  <cp:lastModifiedBy>Un-named</cp:lastModifiedBy>
  <cp:revision>1</cp:revision>
  <dcterms:created xsi:type="dcterms:W3CDTF">2026-08-05T20:09:07.248Z</dcterms:created>
  <dcterms:modified xsi:type="dcterms:W3CDTF">2026-08-05T20:09:07.248Z</dcterms:modified>
</cp:coreProperties>
</file>

<file path=docProps/custom.xml><?xml version="1.0" encoding="utf-8"?>
<Properties xmlns="http://schemas.openxmlformats.org/officeDocument/2006/custom-properties" xmlns:vt="http://schemas.openxmlformats.org/officeDocument/2006/docPropsVTypes"/>
</file>