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sz w:val="38"/>
          <w:szCs w:val="38"/>
        </w:rPr>
        <w:t xml:space="preserve">NeuroBot: An EEG-Based Deep Learning Pipeline for Movement- and Finger-Level Intention Decoding and Deployment</w:t>
      </w:r>
    </w:p>
    <w:p>
      <w:pPr>
        <w:spacing w:after="160"/>
        <w:jc w:val="center"/>
      </w:pPr>
      <w:r>
        <w:rPr>
          <w:rFonts w:ascii="Times New Roman" w:cs="Times New Roman" w:eastAsia="Times New Roman" w:hAnsi="Times New Roman"/>
          <w:i/>
          <w:iCs/>
          <w:sz w:val="22"/>
          <w:szCs w:val="22"/>
        </w:rPr>
        <w:t xml:space="preserve">A Development Report, from Base Paper to Current Status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480"/>
        <w:gridCol w:w="3480"/>
        <w:gridCol w:w="3480"/>
      </w:tblGrid>
      <w:tr>
        <w:tc>
          <w:tcPr>
            <w:tcW w:type="dxa" w:w="3480"/>
            <w:tcBorders>
              <w:top w:val="none"/>
              <w:left w:val="none"/>
              <w:bottom w:val="none"/>
              <w:right w:val="none"/>
            </w:tcBorders>
            <w:tcMar>
              <w:top w:type="dxa" w:w="40"/>
              <w:left w:type="dxa" w:w="60"/>
              <w:bottom w:type="dxa" w:w="40"/>
              <w:right w:type="dxa" w:w="60"/>
            </w:tcMar>
          </w:tcPr>
          <w:p>
            <w:pPr>
              <w:spacing w:after="0"/>
              <w:jc w:val="center"/>
            </w:pPr>
            <w:r>
              <w:rPr>
                <w:rFonts w:ascii="Times New Roman" w:cs="Times New Roman" w:eastAsia="Times New Roman" w:hAnsi="Times New Roman"/>
                <w:b/>
                <w:bCs/>
                <w:sz w:val="20"/>
                <w:szCs w:val="20"/>
              </w:rPr>
              <w:t xml:space="preserve">Veeravajhula Sai Phani Anirudh</w:t>
            </w:r>
          </w:p>
          <w:p>
            <w:pPr>
              <w:spacing w:after="0"/>
              <w:jc w:val="center"/>
            </w:pPr>
            <w:r>
              <w:rPr>
                <w:rFonts w:ascii="Times New Roman" w:cs="Times New Roman" w:eastAsia="Times New Roman" w:hAnsi="Times New Roman"/>
                <w:i/>
                <w:iCs/>
                <w:sz w:val="17"/>
                <w:szCs w:val="17"/>
              </w:rPr>
              <w:t xml:space="preserve">B.Tech CSE student</w:t>
            </w:r>
          </w:p>
          <w:p>
            <w:pPr>
              <w:spacing w:after="0"/>
              <w:jc w:val="center"/>
            </w:pPr>
            <w:r>
              <w:rPr>
                <w:rFonts w:ascii="Times New Roman" w:cs="Times New Roman" w:eastAsia="Times New Roman" w:hAnsi="Times New Roman"/>
                <w:i/>
                <w:iCs/>
                <w:sz w:val="17"/>
                <w:szCs w:val="17"/>
              </w:rPr>
              <w:t xml:space="preserve">Keshav Memorial College of Engineering</w:t>
            </w:r>
          </w:p>
          <w:p>
            <w:pPr>
              <w:spacing w:after="0"/>
              <w:jc w:val="center"/>
            </w:pPr>
            <w:r>
              <w:rPr>
                <w:rFonts w:ascii="Times New Roman" w:cs="Times New Roman" w:eastAsia="Times New Roman" w:hAnsi="Times New Roman"/>
                <w:i/>
                <w:iCs/>
                <w:sz w:val="17"/>
                <w:szCs w:val="17"/>
              </w:rPr>
              <w:t xml:space="preserve">Koheda Road, Chintpalliguda(V), Ibrahimpatnam(M), R.R.Dist-501510, Telangana, India</w:t>
            </w:r>
          </w:p>
          <w:p>
            <w:pPr>
              <w:spacing w:after="0"/>
              <w:jc w:val="center"/>
            </w:pPr>
            <w:r>
              <w:rPr>
                <w:rFonts w:ascii="Courier New" w:cs="Courier New" w:eastAsia="Courier New" w:hAnsi="Courier New"/>
                <w:sz w:val="16"/>
                <w:szCs w:val="16"/>
              </w:rPr>
              <w:t xml:space="preserve">saiphanianirudh@gmail.com</w:t>
            </w:r>
          </w:p>
          <w:p>
            <w:pPr>
              <w:spacing w:after="100"/>
              <w:jc w:val="center"/>
            </w:pPr>
            <w:r>
              <w:rPr>
                <w:rFonts w:ascii="Times New Roman" w:cs="Times New Roman" w:eastAsia="Times New Roman" w:hAnsi="Times New Roman"/>
                <w:sz w:val="16"/>
                <w:szCs w:val="16"/>
              </w:rPr>
              <w:t xml:space="preserve">ORCID: 0009-0003-0562-3098</w:t>
            </w:r>
          </w:p>
        </w:tc>
        <w:tc>
          <w:tcPr>
            <w:tcW w:type="dxa" w:w="3480"/>
            <w:tcBorders>
              <w:top w:val="none"/>
              <w:left w:val="none"/>
              <w:bottom w:val="none"/>
              <w:right w:val="none"/>
            </w:tcBorders>
            <w:tcMar>
              <w:top w:type="dxa" w:w="40"/>
              <w:left w:type="dxa" w:w="60"/>
              <w:bottom w:type="dxa" w:w="40"/>
              <w:right w:type="dxa" w:w="60"/>
            </w:tcMar>
          </w:tcPr>
          <w:p>
            <w:pPr>
              <w:spacing w:after="0"/>
              <w:jc w:val="center"/>
            </w:pPr>
            <w:r>
              <w:rPr>
                <w:rFonts w:ascii="Times New Roman" w:cs="Times New Roman" w:eastAsia="Times New Roman" w:hAnsi="Times New Roman"/>
                <w:b/>
                <w:bCs/>
                <w:sz w:val="20"/>
                <w:szCs w:val="20"/>
              </w:rPr>
              <w:t xml:space="preserve">Chaganti Sreevatsalya</w:t>
            </w:r>
          </w:p>
          <w:p>
            <w:pPr>
              <w:spacing w:after="0"/>
              <w:jc w:val="center"/>
            </w:pPr>
            <w:r>
              <w:rPr>
                <w:rFonts w:ascii="Times New Roman" w:cs="Times New Roman" w:eastAsia="Times New Roman" w:hAnsi="Times New Roman"/>
                <w:i/>
                <w:iCs/>
                <w:sz w:val="17"/>
                <w:szCs w:val="17"/>
              </w:rPr>
              <w:t xml:space="preserve">B.Tech CSE student</w:t>
            </w:r>
          </w:p>
          <w:p>
            <w:pPr>
              <w:spacing w:after="0"/>
              <w:jc w:val="center"/>
            </w:pPr>
            <w:r>
              <w:rPr>
                <w:rFonts w:ascii="Times New Roman" w:cs="Times New Roman" w:eastAsia="Times New Roman" w:hAnsi="Times New Roman"/>
                <w:i/>
                <w:iCs/>
                <w:sz w:val="17"/>
                <w:szCs w:val="17"/>
              </w:rPr>
              <w:t xml:space="preserve">Keshav Memorial College of Engineering</w:t>
            </w:r>
          </w:p>
          <w:p>
            <w:pPr>
              <w:spacing w:after="0"/>
              <w:jc w:val="center"/>
            </w:pPr>
            <w:r>
              <w:rPr>
                <w:rFonts w:ascii="Times New Roman" w:cs="Times New Roman" w:eastAsia="Times New Roman" w:hAnsi="Times New Roman"/>
                <w:i/>
                <w:iCs/>
                <w:sz w:val="17"/>
                <w:szCs w:val="17"/>
              </w:rPr>
              <w:t xml:space="preserve">Koheda Road, Chintpalliguda(V), Ibrahimpatnam(M), R.R.Dist-501510, Telangana, India</w:t>
            </w:r>
          </w:p>
          <w:p>
            <w:pPr>
              <w:spacing w:after="0"/>
              <w:jc w:val="center"/>
            </w:pPr>
            <w:r>
              <w:rPr>
                <w:rFonts w:ascii="Courier New" w:cs="Courier New" w:eastAsia="Courier New" w:hAnsi="Courier New"/>
                <w:sz w:val="16"/>
                <w:szCs w:val="16"/>
              </w:rPr>
              <w:t xml:space="preserve">sreevatsalyachaganti@gmail.com</w:t>
            </w:r>
          </w:p>
          <w:p>
            <w:pPr>
              <w:spacing w:after="100"/>
              <w:jc w:val="center"/>
            </w:pPr>
            <w:r>
              <w:rPr>
                <w:rFonts w:ascii="Times New Roman" w:cs="Times New Roman" w:eastAsia="Times New Roman" w:hAnsi="Times New Roman"/>
                <w:sz w:val="16"/>
                <w:szCs w:val="16"/>
              </w:rPr>
              <w:t xml:space="preserve">ORCID: 0009-0007-8825-5348</w:t>
            </w:r>
          </w:p>
        </w:tc>
        <w:tc>
          <w:tcPr>
            <w:tcW w:type="dxa" w:w="3480"/>
            <w:tcBorders>
              <w:top w:val="none"/>
              <w:left w:val="none"/>
              <w:bottom w:val="none"/>
              <w:right w:val="none"/>
            </w:tcBorders>
            <w:tcMar>
              <w:top w:type="dxa" w:w="40"/>
              <w:left w:type="dxa" w:w="60"/>
              <w:bottom w:type="dxa" w:w="40"/>
              <w:right w:type="dxa" w:w="60"/>
            </w:tcMar>
          </w:tcPr>
          <w:p>
            <w:pPr>
              <w:spacing w:after="0"/>
              <w:jc w:val="center"/>
            </w:pPr>
            <w:r>
              <w:rPr>
                <w:rFonts w:ascii="Times New Roman" w:cs="Times New Roman" w:eastAsia="Times New Roman" w:hAnsi="Times New Roman"/>
                <w:b/>
                <w:bCs/>
                <w:sz w:val="20"/>
                <w:szCs w:val="20"/>
              </w:rPr>
              <w:t xml:space="preserve">Ulindala Trinath</w:t>
            </w:r>
          </w:p>
          <w:p>
            <w:pPr>
              <w:spacing w:after="0"/>
              <w:jc w:val="center"/>
            </w:pPr>
            <w:r>
              <w:rPr>
                <w:rFonts w:ascii="Times New Roman" w:cs="Times New Roman" w:eastAsia="Times New Roman" w:hAnsi="Times New Roman"/>
                <w:i/>
                <w:iCs/>
                <w:sz w:val="17"/>
                <w:szCs w:val="17"/>
              </w:rPr>
              <w:t xml:space="preserve">B.Tech CSE student</w:t>
            </w:r>
          </w:p>
          <w:p>
            <w:pPr>
              <w:spacing w:after="0"/>
              <w:jc w:val="center"/>
            </w:pPr>
            <w:r>
              <w:rPr>
                <w:rFonts w:ascii="Times New Roman" w:cs="Times New Roman" w:eastAsia="Times New Roman" w:hAnsi="Times New Roman"/>
                <w:i/>
                <w:iCs/>
                <w:sz w:val="17"/>
                <w:szCs w:val="17"/>
              </w:rPr>
              <w:t xml:space="preserve">Keshav Memorial College of Engineering</w:t>
            </w:r>
          </w:p>
          <w:p>
            <w:pPr>
              <w:spacing w:after="0"/>
              <w:jc w:val="center"/>
            </w:pPr>
            <w:r>
              <w:rPr>
                <w:rFonts w:ascii="Times New Roman" w:cs="Times New Roman" w:eastAsia="Times New Roman" w:hAnsi="Times New Roman"/>
                <w:i/>
                <w:iCs/>
                <w:sz w:val="17"/>
                <w:szCs w:val="17"/>
              </w:rPr>
              <w:t xml:space="preserve">Koheda Road, Chintpalliguda(V), Ibrahimpatnam(M), R.R.Dist-501510, Telangana, India</w:t>
            </w:r>
          </w:p>
          <w:p>
            <w:pPr>
              <w:spacing w:after="0"/>
              <w:jc w:val="center"/>
            </w:pPr>
            <w:r>
              <w:rPr>
                <w:rFonts w:ascii="Courier New" w:cs="Courier New" w:eastAsia="Courier New" w:hAnsi="Courier New"/>
                <w:sz w:val="16"/>
                <w:szCs w:val="16"/>
              </w:rPr>
              <w:t xml:space="preserve">ulindalatrinath@gmail.com</w:t>
            </w:r>
          </w:p>
          <w:p>
            <w:pPr>
              <w:spacing w:after="100"/>
              <w:jc w:val="center"/>
            </w:pPr>
            <w:r>
              <w:rPr>
                <w:rFonts w:ascii="Times New Roman" w:cs="Times New Roman" w:eastAsia="Times New Roman" w:hAnsi="Times New Roman"/>
                <w:sz w:val="16"/>
                <w:szCs w:val="16"/>
              </w:rPr>
              <w:t xml:space="preserve">ORCID: 0009-0008-6428-8927</w:t>
            </w:r>
          </w:p>
        </w:tc>
      </w:tr>
      <w:tr>
        <w:tc>
          <w:tcPr>
            <w:tcW w:type="dxa" w:w="3480"/>
            <w:tcBorders>
              <w:top w:val="none"/>
              <w:left w:val="none"/>
              <w:bottom w:val="none"/>
              <w:right w:val="none"/>
            </w:tcBorders>
            <w:tcMar>
              <w:top w:type="dxa" w:w="40"/>
              <w:left w:type="dxa" w:w="60"/>
              <w:bottom w:type="dxa" w:w="40"/>
              <w:right w:type="dxa" w:w="60"/>
            </w:tcMar>
          </w:tcPr>
          <w:p>
            <w:pPr>
              <w:spacing w:after="0"/>
              <w:jc w:val="center"/>
            </w:pPr>
            <w:r>
              <w:rPr>
                <w:rFonts w:ascii="Times New Roman" w:cs="Times New Roman" w:eastAsia="Times New Roman" w:hAnsi="Times New Roman"/>
                <w:b/>
                <w:bCs/>
                <w:sz w:val="20"/>
                <w:szCs w:val="20"/>
              </w:rPr>
              <w:t xml:space="preserve">Bashetty Sumukh</w:t>
            </w:r>
          </w:p>
          <w:p>
            <w:pPr>
              <w:spacing w:after="0"/>
              <w:jc w:val="center"/>
            </w:pPr>
            <w:r>
              <w:rPr>
                <w:rFonts w:ascii="Times New Roman" w:cs="Times New Roman" w:eastAsia="Times New Roman" w:hAnsi="Times New Roman"/>
                <w:i/>
                <w:iCs/>
                <w:sz w:val="17"/>
                <w:szCs w:val="17"/>
              </w:rPr>
              <w:t xml:space="preserve">B.Tech CSE student</w:t>
            </w:r>
          </w:p>
          <w:p>
            <w:pPr>
              <w:spacing w:after="0"/>
              <w:jc w:val="center"/>
            </w:pPr>
            <w:r>
              <w:rPr>
                <w:rFonts w:ascii="Times New Roman" w:cs="Times New Roman" w:eastAsia="Times New Roman" w:hAnsi="Times New Roman"/>
                <w:i/>
                <w:iCs/>
                <w:sz w:val="17"/>
                <w:szCs w:val="17"/>
              </w:rPr>
              <w:t xml:space="preserve">Keshav Memorial College of Engineering</w:t>
            </w:r>
          </w:p>
          <w:p>
            <w:pPr>
              <w:spacing w:after="0"/>
              <w:jc w:val="center"/>
            </w:pPr>
            <w:r>
              <w:rPr>
                <w:rFonts w:ascii="Times New Roman" w:cs="Times New Roman" w:eastAsia="Times New Roman" w:hAnsi="Times New Roman"/>
                <w:i/>
                <w:iCs/>
                <w:sz w:val="17"/>
                <w:szCs w:val="17"/>
              </w:rPr>
              <w:t xml:space="preserve">Koheda Road, Chintpalliguda(V), Ibrahimpatnam(M), R.R.Dist-501510, Telangana, India</w:t>
            </w:r>
          </w:p>
          <w:p>
            <w:pPr>
              <w:spacing w:after="0"/>
              <w:jc w:val="center"/>
            </w:pPr>
            <w:r>
              <w:rPr>
                <w:rFonts w:ascii="Courier New" w:cs="Courier New" w:eastAsia="Courier New" w:hAnsi="Courier New"/>
                <w:sz w:val="16"/>
                <w:szCs w:val="16"/>
              </w:rPr>
              <w:t xml:space="preserve">sumukhbashetty@gmail.com</w:t>
            </w:r>
          </w:p>
          <w:p>
            <w:pPr>
              <w:spacing w:after="100"/>
              <w:jc w:val="center"/>
            </w:pPr>
            <w:r>
              <w:rPr>
                <w:rFonts w:ascii="Times New Roman" w:cs="Times New Roman" w:eastAsia="Times New Roman" w:hAnsi="Times New Roman"/>
                <w:sz w:val="16"/>
                <w:szCs w:val="16"/>
              </w:rPr>
              <w:t xml:space="preserve">ORCID: 0009-0006-1503-3448</w:t>
            </w:r>
          </w:p>
        </w:tc>
        <w:tc>
          <w:tcPr>
            <w:tcW w:type="dxa" w:w="3480"/>
            <w:tcBorders>
              <w:top w:val="none"/>
              <w:left w:val="none"/>
              <w:bottom w:val="none"/>
              <w:right w:val="none"/>
            </w:tcBorders>
            <w:tcMar>
              <w:top w:type="dxa" w:w="40"/>
              <w:left w:type="dxa" w:w="60"/>
              <w:bottom w:type="dxa" w:w="40"/>
              <w:right w:type="dxa" w:w="60"/>
            </w:tcMar>
          </w:tcPr>
          <w:p>
            <w:pPr>
              <w:spacing w:after="0"/>
              <w:jc w:val="center"/>
            </w:pPr>
            <w:r>
              <w:rPr>
                <w:rFonts w:ascii="Times New Roman" w:cs="Times New Roman" w:eastAsia="Times New Roman" w:hAnsi="Times New Roman"/>
                <w:b/>
                <w:bCs/>
                <w:sz w:val="20"/>
                <w:szCs w:val="20"/>
              </w:rPr>
              <w:t xml:space="preserve">Majji Kiran</w:t>
            </w:r>
          </w:p>
          <w:p>
            <w:pPr>
              <w:spacing w:after="0"/>
              <w:jc w:val="center"/>
            </w:pPr>
            <w:r>
              <w:rPr>
                <w:rFonts w:ascii="Times New Roman" w:cs="Times New Roman" w:eastAsia="Times New Roman" w:hAnsi="Times New Roman"/>
                <w:i/>
                <w:iCs/>
                <w:sz w:val="17"/>
                <w:szCs w:val="17"/>
              </w:rPr>
              <w:t xml:space="preserve">B.Tech CSE student</w:t>
            </w:r>
          </w:p>
          <w:p>
            <w:pPr>
              <w:spacing w:after="0"/>
              <w:jc w:val="center"/>
            </w:pPr>
            <w:r>
              <w:rPr>
                <w:rFonts w:ascii="Times New Roman" w:cs="Times New Roman" w:eastAsia="Times New Roman" w:hAnsi="Times New Roman"/>
                <w:i/>
                <w:iCs/>
                <w:sz w:val="17"/>
                <w:szCs w:val="17"/>
              </w:rPr>
              <w:t xml:space="preserve">Keshav Memorial College of Engineering</w:t>
            </w:r>
          </w:p>
          <w:p>
            <w:pPr>
              <w:spacing w:after="0"/>
              <w:jc w:val="center"/>
            </w:pPr>
            <w:r>
              <w:rPr>
                <w:rFonts w:ascii="Times New Roman" w:cs="Times New Roman" w:eastAsia="Times New Roman" w:hAnsi="Times New Roman"/>
                <w:i/>
                <w:iCs/>
                <w:sz w:val="17"/>
                <w:szCs w:val="17"/>
              </w:rPr>
              <w:t xml:space="preserve">Koheda Road, Chintpalliguda(V), Ibrahimpatnam(M), R.R.Dist-501510, Telangana, India</w:t>
            </w:r>
          </w:p>
          <w:p>
            <w:pPr>
              <w:spacing w:after="0"/>
              <w:jc w:val="center"/>
            </w:pPr>
            <w:r>
              <w:rPr>
                <w:rFonts w:ascii="Courier New" w:cs="Courier New" w:eastAsia="Courier New" w:hAnsi="Courier New"/>
                <w:sz w:val="16"/>
                <w:szCs w:val="16"/>
              </w:rPr>
              <w:t xml:space="preserve">majjikiran8@gmail.com</w:t>
            </w:r>
          </w:p>
          <w:p>
            <w:pPr>
              <w:spacing w:after="100"/>
              <w:jc w:val="center"/>
            </w:pPr>
            <w:r>
              <w:rPr>
                <w:rFonts w:ascii="Times New Roman" w:cs="Times New Roman" w:eastAsia="Times New Roman" w:hAnsi="Times New Roman"/>
                <w:sz w:val="16"/>
                <w:szCs w:val="16"/>
              </w:rPr>
              <w:t xml:space="preserve">ORCID: 0009-0005-5628-4086</w:t>
            </w:r>
          </w:p>
        </w:tc>
        <w:tc>
          <w:tcPr>
            <w:tcW w:type="dxa" w:w="3480"/>
            <w:tcBorders>
              <w:top w:val="none"/>
              <w:left w:val="none"/>
              <w:bottom w:val="none"/>
              <w:right w:val="none"/>
            </w:tcBorders>
            <w:tcMar>
              <w:top w:type="dxa" w:w="40"/>
              <w:left w:type="dxa" w:w="60"/>
              <w:bottom w:type="dxa" w:w="40"/>
              <w:right w:type="dxa" w:w="60"/>
            </w:tcMar>
          </w:tcPr>
          <w:p>
            <w:pPr>
              <w:spacing w:after="0"/>
              <w:jc w:val="center"/>
            </w:pPr>
            <w:r>
              <w:rPr>
                <w:rFonts w:ascii="Times New Roman" w:cs="Times New Roman" w:eastAsia="Times New Roman" w:hAnsi="Times New Roman"/>
                <w:b/>
                <w:bCs/>
                <w:sz w:val="20"/>
                <w:szCs w:val="20"/>
              </w:rPr>
              <w:t xml:space="preserve">A. Shilpa Gupta</w:t>
            </w:r>
          </w:p>
          <w:p>
            <w:pPr>
              <w:spacing w:after="0"/>
              <w:jc w:val="center"/>
            </w:pPr>
            <w:r>
              <w:rPr>
                <w:rFonts w:ascii="Times New Roman" w:cs="Times New Roman" w:eastAsia="Times New Roman" w:hAnsi="Times New Roman"/>
                <w:i/>
                <w:iCs/>
                <w:sz w:val="17"/>
                <w:szCs w:val="17"/>
              </w:rPr>
              <w:t xml:space="preserve">Faculty Mentor</w:t>
            </w:r>
          </w:p>
          <w:p>
            <w:pPr>
              <w:spacing w:after="0"/>
              <w:jc w:val="center"/>
            </w:pPr>
            <w:r>
              <w:rPr>
                <w:rFonts w:ascii="Times New Roman" w:cs="Times New Roman" w:eastAsia="Times New Roman" w:hAnsi="Times New Roman"/>
                <w:i/>
                <w:iCs/>
                <w:sz w:val="17"/>
                <w:szCs w:val="17"/>
              </w:rPr>
              <w:t xml:space="preserve">Keshav Memorial College of Engineering</w:t>
            </w:r>
          </w:p>
          <w:p>
            <w:pPr>
              <w:spacing w:after="0"/>
              <w:jc w:val="center"/>
            </w:pPr>
            <w:r>
              <w:rPr>
                <w:rFonts w:ascii="Times New Roman" w:cs="Times New Roman" w:eastAsia="Times New Roman" w:hAnsi="Times New Roman"/>
                <w:i/>
                <w:iCs/>
                <w:sz w:val="17"/>
                <w:szCs w:val="17"/>
              </w:rPr>
              <w:t xml:space="preserve">Koheda Road, Chintpalliguda(V), Ibrahimpatnam(M), R.R.Dist-501510, Telangana, India</w:t>
            </w:r>
          </w:p>
          <w:p>
            <w:pPr>
              <w:spacing w:after="0"/>
              <w:jc w:val="center"/>
            </w:pPr>
            <w:r>
              <w:rPr>
                <w:rFonts w:ascii="Courier New" w:cs="Courier New" w:eastAsia="Courier New" w:hAnsi="Courier New"/>
                <w:sz w:val="16"/>
                <w:szCs w:val="16"/>
              </w:rPr>
              <w:t xml:space="preserve">a.shilpagupta@gmail.com</w:t>
            </w:r>
          </w:p>
        </w:tc>
      </w:tr>
    </w:tbl>
    <w:p>
      <w:pPr>
        <w:spacing w:after="60"/>
      </w:pPr>
    </w:p>
    <w:p>
      <w:pPr>
        <w:sectPr>
          <w:footerReference w:type="default" r:id="rId7"/>
          <w:type w:val="nextPage"/>
          <w:pgSz w:w="12240" w:h="15840" w:orient="portrait"/>
          <w:pgMar w:top="1080" w:right="900" w:bottom="1200" w:left="900" w:header="500" w:footer="500" w:gutter="0"/>
          <w:pgNumType/>
          <w:docGrid w:linePitch="360"/>
        </w:sectPr>
      </w:pPr>
    </w:p>
    <w:p>
      <w:pPr>
        <w:spacing w:after="8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—This report describes NeuroBot, an EEG brain-computer interface that we trained ourselves. We were motivated by the real-time finger-level robotic hand control of Ding </w:t>
      </w:r>
      <w:r>
        <w:rPr>
          <w:rFonts w:ascii="Times New Roman" w:cs="Times New Roman" w:eastAsia="Times New Roman" w:hAnsi="Times New Roman"/>
          <w:b/>
          <w:bCs/>
          <w:i/>
          <w:iCs/>
          <w:sz w:val="18"/>
          <w:szCs w:val="18"/>
        </w:rPr>
        <w:t xml:space="preserve">et al.</w:t>
      </w:r>
      <w:r>
        <w:rPr>
          <w:rFonts w:ascii="Times New Roman" w:cs="Times New Roman" w:eastAsia="Times New Roman" w:hAnsi="Times New Roman"/>
          <w:b/>
          <w:bCs/>
          <w:sz w:val="18"/>
          <w:szCs w:val="18"/>
        </w:rPr>
        <w:t xml:space="preserve"> [1], so we started with two limb-level decoders (left fist, right fist or rest; both fists, both feet or rest) on the PhysioNet Motor Movement/Imagery Database [2], [3]. We used EEGNet [4] and the convolutional transformer TCFormer [5] (through Braindecode [6]), each trained with a per-subject pretrain and fine-tune protocol. Over eleven iterations we found and fixed two leaks in our evaluation split, one from subject order and one from overlapping windows. On ten subjects with a trial-level split, TCFormer with cross-subject pretraining and three-seed averaging reaches group-mean majority-vote accuracies of 74.4% and 70.0% for Task A and 86.7% and 71.1% for Task B (executed and imagined movement; chance 33.3%). Against the same model trained without pretraining, the gain is significant only for Task B executed movement (+7.8 points, p = 0.003). A single-subject pilot on the finger dataset [7] reaches 79.9% for two fingers and 44.6% for three fingers on executed movement. The system is deployed as a software-only three-tier web service with no external API.</w:t>
      </w:r>
    </w:p>
    <w:p>
      <w:pPr>
        <w:spacing w:after="12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—Electroencephalography (EEG), Brain-Computer Interface (BCI), Motor Imagery, Motor Execution, EEGNet, Transformer, TCFormer, Deep Learning, PhysioNet, Finger-Level Decoding, Deployment.</w:t>
      </w:r>
    </w:p>
    <w:p>
      <w:pPr>
        <w:pStyle w:val="Heading1"/>
        <w:keepNext/>
        <w:spacing w:after="80" w:before="200"/>
        <w:jc w:val="center"/>
      </w:pPr>
      <w:r>
        <w:rPr>
          <w:rFonts w:ascii="Times New Roman" w:cs="Times New Roman" w:eastAsia="Times New Roman" w:hAnsi="Times New Roman"/>
          <w:smallCaps/>
          <w:sz w:val="20"/>
          <w:szCs w:val="20"/>
        </w:rPr>
        <w:t xml:space="preserve">1. Introduction</w:t>
      </w:r>
    </w:p>
    <w:p>
      <w:pPr>
        <w:spacing w:after="80" w:line="240"/>
        <w:ind w:firstLine="200"/>
        <w:jc w:val="both"/>
      </w:pPr>
      <w:r>
        <w:rPr>
          <w:rFonts w:ascii="Times New Roman" w:cs="Times New Roman" w:eastAsia="Times New Roman" w:hAnsi="Times New Roman"/>
          <w:sz w:val="20"/>
          <w:szCs w:val="20"/>
        </w:rPr>
        <w:t xml:space="preserve">Brain-computer interfaces (BCIs) turn neural activity into control signals. They can give people with motor impairment a way to communicate and control devices, and they offer new ways for anyone to interact with computers [8]. Invasive BCIs record from inside or on the surface of the brain. They have high spatial precision but need surgery. Noninvasive BCIs based on scalp EEG reach many more people, but they have mostly been limited to coarse control such as whole-limb movement, binary choices or slow spelling, because it is hard to separate closely spaced neural sources from scalp recordings. Executed and imagined movement change sensorimotor rhythms over the motor cortex (event-related desynchronization and synchronization) [9], [10], and motor-imagery BCIs learn to decode this signal [11].</w:t>
      </w:r>
    </w:p>
    <w:p>
      <w:pPr>
        <w:spacing w:after="80" w:line="240"/>
        <w:ind w:firstLine="200"/>
        <w:jc w:val="both"/>
      </w:pPr>
      <w:r>
        <w:rPr>
          <w:rFonts w:ascii="Times New Roman" w:cs="Times New Roman" w:eastAsia="Times New Roman" w:hAnsi="Times New Roman"/>
          <w:sz w:val="20"/>
          <w:szCs w:val="20"/>
        </w:rPr>
        <w:t xml:space="preserve">NeuroBot began as our attempt to rebuild such a decoding pipeline ourselves, with models we trained and no external API or pretrained third-party service. We first tested the approach on limb-level motor tasks and only then moved to the finger-level task of the base paper. Fig. 1 shows the pipeline from raw EEG to the output the user sees.</w:t>
      </w:r>
    </w:p>
    <w:p>
      <w:pPr>
        <w:keepNext/>
        <w:spacing w:after="20" w:before="80"/>
        <w:jc w:val="center"/>
      </w:pPr>
      <w:r>
        <w:drawing>
          <wp:inline distT="0" distB="0" distL="0" distR="0">
            <wp:extent cx="2485548" cy="2258853"/>
            <wp:effectExtent t="0" r="0" b="0" l="0"/>
            <wp:docPr id="1" name="assets/fig_pipeline.png" descr="assets/fig_pipeline.png" title="assets/fig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85548" cy="2258853"/>
                    </a:xfrm>
                    <a:prstGeom prst="rect">
                      <a:avLst/>
                    </a:prstGeom>
                  </pic:spPr>
                </pic:pic>
              </a:graphicData>
            </a:graphic>
          </wp:inline>
        </w:drawing>
      </w:r>
    </w:p>
    <w:p>
      <w:pPr>
        <w:spacing w:after="120" w:before="40"/>
        <w:jc w:val="center"/>
      </w:pPr>
      <w:r>
        <w:rPr>
          <w:rFonts w:ascii="Times New Roman" w:cs="Times New Roman" w:eastAsia="Times New Roman" w:hAnsi="Times New Roman"/>
          <w:sz w:val="16"/>
          <w:szCs w:val="16"/>
        </w:rPr>
        <w:t xml:space="preserve">Fig. 1. End-to-end NeuroBot pipeline: input, preprocessing, deep model, decision, and application output.</w:t>
      </w:r>
    </w:p>
    <w:p>
      <w:pPr>
        <w:spacing w:after="80" w:line="240"/>
        <w:ind w:firstLine="200"/>
        <w:jc w:val="both"/>
      </w:pPr>
      <w:r>
        <w:rPr>
          <w:rFonts w:ascii="Times New Roman" w:cs="Times New Roman" w:eastAsia="Times New Roman" w:hAnsi="Times New Roman"/>
          <w:sz w:val="20"/>
          <w:szCs w:val="20"/>
        </w:rPr>
        <w:t xml:space="preserve">The rest of this report is organized as follows. Section 2 reviews related work, Section 3 states the problem and scope, Section 4 describes the datasets, and Section 5 explains the methodology. Section 6 tells the development history, Section 7 summarizes results, and Section 8 describes the software and its deployment. Sections 9, 10 and 11 cover limitations, future work and the conclusion.</w:t>
      </w:r>
    </w:p>
    <w:p>
      <w:pPr>
        <w:pStyle w:val="Heading2"/>
        <w:keepNext/>
        <w:spacing w:after="60" w:before="120"/>
      </w:pPr>
      <w:r>
        <w:rPr>
          <w:rFonts w:ascii="Times New Roman" w:cs="Times New Roman" w:eastAsia="Times New Roman" w:hAnsi="Times New Roman"/>
          <w:i/>
          <w:iCs/>
          <w:sz w:val="20"/>
          <w:szCs w:val="20"/>
        </w:rPr>
        <w:t xml:space="preserve">1.1 The Base Paper</w:t>
      </w:r>
    </w:p>
    <w:p>
      <w:pPr>
        <w:spacing w:after="80" w:line="240"/>
        <w:ind w:firstLine="200"/>
        <w:jc w:val="both"/>
      </w:pPr>
      <w:r>
        <w:rPr>
          <w:rFonts w:ascii="Times New Roman" w:cs="Times New Roman" w:eastAsia="Times New Roman" w:hAnsi="Times New Roman"/>
          <w:sz w:val="20"/>
          <w:szCs w:val="20"/>
        </w:rPr>
        <w:t xml:space="preserve">Ding, Udompanyawit, Zhang, and He [1] recorded 128-channel EEG (BioSemi ActiveTwo, 1024 Hz, international 10-20 placement) from 21 right-handed subjects who were experienced BCI users. The subjects made cued finger movements, either physically executed (ME) or imagined (MI), over one offline session and several online sessions each. A deep convolutional network (EEGNet [4]) was trained for each subject and fine-tuned online. It decoded 1-second windows into finger classes that moved a robotic hand in real time. In the offline sessions the four fingers of the right hand (thumb, index, middle and pinky) were each flexed and extended repeatedly, or imagined being so. The online tasks used thumb versus pinky (two fingers) and thumb, index and pinky (three fingers). The study reports online accuracies of 81.10% (executed) and 80.56% (imagined) for two fingers and 60.11% and 60.61% for three fingers. It also finds that fingers which activate more distinct cortical regions, such as thumb and pinky, are easier to tell apart than neighboring fingers.</w:t>
      </w:r>
    </w:p>
    <w:p>
      <w:pPr>
        <w:spacing w:after="80" w:line="240"/>
        <w:ind w:firstLine="200"/>
        <w:jc w:val="both"/>
      </w:pPr>
      <w:r>
        <w:rPr>
          <w:rFonts w:ascii="Times New Roman" w:cs="Times New Roman" w:eastAsia="Times New Roman" w:hAnsi="Times New Roman"/>
          <w:sz w:val="20"/>
          <w:szCs w:val="20"/>
        </w:rPr>
        <w:t xml:space="preserve">The authors released both the dataset and their training code, and we read both directly instead of guessing the methodology. The dataset (KiltHub/Figshare, DOI 10.1184/R1/29104040 [7]) is about 502.77 GB for 21 subjects, stored as per-subject FieldTrip-style MATLAB files with event markers. The code release (github.com/bfinl/FingerBCI-Decoding) shows the preprocessing they used: 1-second windows, downsampling from 1024 Hz to 100 Hz, a 4–40 Hz band-pass filter, and EEGNet hyperparameters F1=8, D=2, F2=16 and a temporal kernel length of 32. We adopted these values for our own EEGNet (Section 5.2). The code covers only two- and three-class setups. It has no four-finger configuration.</w:t>
      </w:r>
    </w:p>
    <w:p>
      <w:pPr>
        <w:pStyle w:val="Heading1"/>
        <w:keepNext/>
        <w:spacing w:after="80" w:before="200"/>
        <w:jc w:val="center"/>
      </w:pPr>
      <w:r>
        <w:rPr>
          <w:rFonts w:ascii="Times New Roman" w:cs="Times New Roman" w:eastAsia="Times New Roman" w:hAnsi="Times New Roman"/>
          <w:smallCaps/>
          <w:sz w:val="20"/>
          <w:szCs w:val="20"/>
        </w:rPr>
        <w:t xml:space="preserve">2. Related Work</w:t>
      </w:r>
    </w:p>
    <w:p>
      <w:pPr>
        <w:spacing w:after="80" w:line="240"/>
        <w:ind w:firstLine="200"/>
        <w:jc w:val="both"/>
      </w:pPr>
      <w:r>
        <w:rPr>
          <w:rFonts w:ascii="Times New Roman" w:cs="Times New Roman" w:eastAsia="Times New Roman" w:hAnsi="Times New Roman"/>
          <w:i/>
          <w:iCs/>
          <w:sz w:val="20"/>
          <w:szCs w:val="20"/>
        </w:rPr>
        <w:t xml:space="preserve">Classical and deep-learning decoders.</w:t>
      </w:r>
      <w:r>
        <w:rPr>
          <w:rFonts w:ascii="Times New Roman" w:cs="Times New Roman" w:eastAsia="Times New Roman" w:hAnsi="Times New Roman"/>
          <w:sz w:val="20"/>
          <w:szCs w:val="20"/>
        </w:rPr>
        <w:t xml:space="preserve"> Early motor-imagery BCIs relied on hand-engineered spectral-spatial features fed to linear or kernel classifiers; the field has since moved toward end-to-end deep learning, as surveyed in [12], [13]. Schirrmeister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showed that deep and shallow convolutional networks trained on raw EEG can match filter-bank common spatial patterns on movement decoding [14]. EEGNet [4] is a compact network built from a temporal convolution, a depthwise spatial convolution, and a separable convolution, and has become a standard baseline across BCI paradigms because of its small parameter count.</w:t>
      </w:r>
    </w:p>
    <w:p>
      <w:pPr>
        <w:spacing w:after="80" w:line="240"/>
        <w:ind w:firstLine="200"/>
        <w:jc w:val="both"/>
      </w:pPr>
      <w:r>
        <w:rPr>
          <w:rFonts w:ascii="Times New Roman" w:cs="Times New Roman" w:eastAsia="Times New Roman" w:hAnsi="Times New Roman"/>
          <w:i/>
          <w:iCs/>
          <w:sz w:val="20"/>
          <w:szCs w:val="20"/>
        </w:rPr>
        <w:t xml:space="preserve">Attention-based decoders.</w:t>
      </w:r>
      <w:r>
        <w:rPr>
          <w:rFonts w:ascii="Times New Roman" w:cs="Times New Roman" w:eastAsia="Times New Roman" w:hAnsi="Times New Roman"/>
          <w:sz w:val="20"/>
          <w:szCs w:val="20"/>
        </w:rPr>
        <w:t xml:space="preserve"> The Transformer [15] models long-range dependencies with self-attention. EEG Conformer [16] puts a self-attention module after a temporal-spatial convolution module, so it can capture global relations among local temporal features. TCFormer [5] combines a multi-kernel convolutional front end, a Transformer encoder with grouped-query attention [17] and rotary position embeddings [18], and a temporal convolutional network (TCN) classification head [19].</w:t>
      </w:r>
    </w:p>
    <w:p>
      <w:pPr>
        <w:spacing w:after="80" w:line="240"/>
        <w:ind w:firstLine="200"/>
        <w:jc w:val="both"/>
      </w:pPr>
      <w:r>
        <w:rPr>
          <w:rFonts w:ascii="Times New Roman" w:cs="Times New Roman" w:eastAsia="Times New Roman" w:hAnsi="Times New Roman"/>
          <w:i/>
          <w:iCs/>
          <w:sz w:val="20"/>
          <w:szCs w:val="20"/>
        </w:rPr>
        <w:t xml:space="preserve">Noninvasive robotic control.</w:t>
      </w:r>
      <w:r>
        <w:rPr>
          <w:rFonts w:ascii="Times New Roman" w:cs="Times New Roman" w:eastAsia="Times New Roman" w:hAnsi="Times New Roman"/>
          <w:sz w:val="20"/>
          <w:szCs w:val="20"/>
        </w:rPr>
        <w:t xml:space="preserve"> Edelman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demonstrated continuous, noninvasive EEG-based control of a robotic arm, using EEG source imaging to improve decoding [20]; Ding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[1] extend noninvasive control to the individual-finger level.</w:t>
      </w:r>
    </w:p>
    <w:p>
      <w:pPr>
        <w:spacing w:after="80" w:line="240"/>
        <w:ind w:firstLine="200"/>
        <w:jc w:val="both"/>
      </w:pPr>
      <w:r>
        <w:rPr>
          <w:rFonts w:ascii="Times New Roman" w:cs="Times New Roman" w:eastAsia="Times New Roman" w:hAnsi="Times New Roman"/>
          <w:i/>
          <w:iCs/>
          <w:sz w:val="20"/>
          <w:szCs w:val="20"/>
        </w:rPr>
        <w:t xml:space="preserve">Training practice and tooling.</w:t>
      </w:r>
      <w:r>
        <w:rPr>
          <w:rFonts w:ascii="Times New Roman" w:cs="Times New Roman" w:eastAsia="Times New Roman" w:hAnsi="Times New Roman"/>
          <w:sz w:val="20"/>
          <w:szCs w:val="20"/>
        </w:rPr>
        <w:t xml:space="preserve"> Transformer-style training commonly uses the Adam optimizer [21] with decoupled weight decay (AdamW) [22], a warm-up followed by cosine learning-rate decay [23], and label smoothing [24]. We use PyTorch [25] and MNE-Python [26] for EEG handling, and take TCFormer from Braindecode [6]. Compared with this literature, NeuroBot contributes three things: (i) a per-subject hybrid pretrain/fine-tune protocol, a form of transfer learning [27], applied to a CNN and a CNN-Transformer; (ii) a documented diagnosis and fix of a self-attention token bottleneck when TCFormer is applied to short windows; and (iii) a software-only deployment of the trained models with no external API.</w:t>
      </w:r>
    </w:p>
    <w:p>
      <w:pPr>
        <w:pStyle w:val="Heading1"/>
        <w:keepNext/>
        <w:spacing w:after="80" w:before="200"/>
        <w:jc w:val="center"/>
      </w:pPr>
      <w:r>
        <w:rPr>
          <w:rFonts w:ascii="Times New Roman" w:cs="Times New Roman" w:eastAsia="Times New Roman" w:hAnsi="Times New Roman"/>
          <w:smallCaps/>
          <w:sz w:val="20"/>
          <w:szCs w:val="20"/>
        </w:rPr>
        <w:t xml:space="preserve">3. Problem Statement and Scope</w:t>
      </w:r>
    </w:p>
    <w:p>
      <w:pPr>
        <w:pStyle w:val="Heading2"/>
        <w:keepNext/>
        <w:spacing w:after="60" w:before="120"/>
      </w:pPr>
      <w:r>
        <w:rPr>
          <w:rFonts w:ascii="Times New Roman" w:cs="Times New Roman" w:eastAsia="Times New Roman" w:hAnsi="Times New Roman"/>
          <w:i/>
          <w:iCs/>
          <w:sz w:val="20"/>
          <w:szCs w:val="20"/>
        </w:rPr>
        <w:t xml:space="preserve">3.1 Problem Statement</w:t>
      </w:r>
    </w:p>
    <w:p>
      <w:pPr>
        <w:spacing w:after="80" w:line="240"/>
        <w:ind w:firstLine="200"/>
        <w:jc w:val="both"/>
      </w:pPr>
      <w:r>
        <w:rPr>
          <w:rFonts w:ascii="Times New Roman" w:cs="Times New Roman" w:eastAsia="Times New Roman" w:hAnsi="Times New Roman"/>
          <w:sz w:val="20"/>
          <w:szCs w:val="20"/>
        </w:rPr>
        <w:t xml:space="preserve">The goal is a pipeline that we train ourselves and that decodes movement intention from EEG. It should work for coarse limb-level tasks and for the finger-level task of the base paper, without an external API, a cloud inference service or a pretrained third-party model. If we can get useful accuracy from raw EEG all the way to a working software output, that is a small but reproducible step toward more accessible noninvasive assistive BCIs.</w:t>
      </w:r>
    </w:p>
    <w:p>
      <w:pPr>
        <w:pStyle w:val="Heading2"/>
        <w:keepNext/>
        <w:spacing w:after="60" w:before="120"/>
      </w:pPr>
      <w:r>
        <w:rPr>
          <w:rFonts w:ascii="Times New Roman" w:cs="Times New Roman" w:eastAsia="Times New Roman" w:hAnsi="Times New Roman"/>
          <w:i/>
          <w:iCs/>
          <w:sz w:val="20"/>
          <w:szCs w:val="20"/>
        </w:rPr>
        <w:t xml:space="preserve">3.2 Scope</w:t>
      </w:r>
    </w:p>
    <w:p>
      <w:pPr>
        <w:keepNext/>
        <w:spacing w:after="80" w:line="240"/>
        <w:jc w:val="both"/>
      </w:pPr>
      <w:r>
        <w:rPr>
          <w:rFonts w:ascii="Times New Roman" w:cs="Times New Roman" w:eastAsia="Times New Roman" w:hAnsi="Times New Roman"/>
          <w:i/>
          <w:iCs/>
          <w:sz w:val="20"/>
          <w:szCs w:val="20"/>
        </w:rPr>
        <w:t xml:space="preserve">In scope:</w:t>
      </w:r>
    </w:p>
    <w:p>
      <w:pPr>
        <w:pStyle w:val="ListParagraph"/>
        <w:numPr>
          <w:ilvl w:val="0"/>
          <w:numId w:val="2"/>
        </w:numPr>
        <w:spacing w:after="40" w:line="240"/>
        <w:jc w:val="both"/>
      </w:pPr>
      <w:r>
        <w:rPr>
          <w:rFonts w:ascii="Times New Roman" w:cs="Times New Roman" w:eastAsia="Times New Roman" w:hAnsi="Times New Roman"/>
          <w:sz w:val="20"/>
          <w:szCs w:val="20"/>
        </w:rPr>
        <w:t xml:space="preserve">EEG preprocessing: common-average referencing, band-pass filtering, sliding-window segmentation, per-window normalization.</w:t>
      </w:r>
    </w:p>
    <w:p>
      <w:pPr>
        <w:pStyle w:val="ListParagraph"/>
        <w:numPr>
          <w:ilvl w:val="0"/>
          <w:numId w:val="2"/>
        </w:numPr>
        <w:spacing w:after="40" w:line="240"/>
        <w:jc w:val="both"/>
      </w:pPr>
      <w:r>
        <w:rPr>
          <w:rFonts w:ascii="Times New Roman" w:cs="Times New Roman" w:eastAsia="Times New Roman" w:hAnsi="Times New Roman"/>
          <w:sz w:val="20"/>
          <w:szCs w:val="20"/>
        </w:rPr>
        <w:t xml:space="preserve">Limb-level decoding on PhysioNet eegmmidb: left-fist/right-fist/rest (Task A) and both-fists/both-feet/rest (Task B).</w:t>
      </w:r>
    </w:p>
    <w:p>
      <w:pPr>
        <w:pStyle w:val="ListParagraph"/>
        <w:numPr>
          <w:ilvl w:val="0"/>
          <w:numId w:val="2"/>
        </w:numPr>
        <w:spacing w:after="40" w:line="240"/>
        <w:jc w:val="both"/>
      </w:pPr>
      <w:r>
        <w:rPr>
          <w:rFonts w:ascii="Times New Roman" w:cs="Times New Roman" w:eastAsia="Times New Roman" w:hAnsi="Times New Roman"/>
          <w:sz w:val="20"/>
          <w:szCs w:val="20"/>
        </w:rPr>
        <w:t xml:space="preserve">Finger-level decoding on the base paper’s released dataset: a single-subject pilot (subject S01) in the 2- and 3-finger configurations.</w:t>
      </w:r>
    </w:p>
    <w:p>
      <w:pPr>
        <w:pStyle w:val="ListParagraph"/>
        <w:numPr>
          <w:ilvl w:val="0"/>
          <w:numId w:val="2"/>
        </w:numPr>
        <w:spacing w:after="40" w:line="240"/>
        <w:jc w:val="both"/>
      </w:pPr>
      <w:r>
        <w:rPr>
          <w:rFonts w:ascii="Times New Roman" w:cs="Times New Roman" w:eastAsia="Times New Roman" w:hAnsi="Times New Roman"/>
          <w:sz w:val="20"/>
          <w:szCs w:val="20"/>
        </w:rPr>
        <w:t xml:space="preserve">Two model architectures—EEGNet (CNN) and TCFormer (CNN-Transformer hybrid)—compared head to head under the earlier window-level split (v7–v8); under the final trial-level split both TCFormer and EEGNet are evaluated on both tasks (v11).</w:t>
      </w:r>
    </w:p>
    <w:p>
      <w:pPr>
        <w:pStyle w:val="ListParagraph"/>
        <w:numPr>
          <w:ilvl w:val="0"/>
          <w:numId w:val="2"/>
        </w:numPr>
        <w:spacing w:after="40" w:line="240"/>
        <w:jc w:val="both"/>
      </w:pPr>
      <w:r>
        <w:rPr>
          <w:rFonts w:ascii="Times New Roman" w:cs="Times New Roman" w:eastAsia="Times New Roman" w:hAnsi="Times New Roman"/>
          <w:sz w:val="20"/>
          <w:szCs w:val="20"/>
        </w:rPr>
        <w:t xml:space="preserve">A per-subject hybrid pretrain/fine-tune training protocol developed for this project.</w:t>
      </w:r>
    </w:p>
    <w:p>
      <w:pPr>
        <w:pStyle w:val="ListParagraph"/>
        <w:numPr>
          <w:ilvl w:val="0"/>
          <w:numId w:val="2"/>
        </w:numPr>
        <w:spacing w:after="40" w:line="240"/>
        <w:jc w:val="both"/>
      </w:pPr>
      <w:r>
        <w:rPr>
          <w:rFonts w:ascii="Times New Roman" w:cs="Times New Roman" w:eastAsia="Times New Roman" w:hAnsi="Times New Roman"/>
          <w:sz w:val="20"/>
          <w:szCs w:val="20"/>
        </w:rPr>
        <w:t xml:space="preserve">A software backend (REST + WebSocket API) and a browser-based Decode Console, deployed as a web service on Render and also runnable on a laptop.</w:t>
      </w:r>
    </w:p>
    <w:p>
      <w:pPr>
        <w:keepNext/>
        <w:spacing w:after="80" w:line="240"/>
        <w:jc w:val="both"/>
      </w:pPr>
      <w:r>
        <w:rPr>
          <w:rFonts w:ascii="Times New Roman" w:cs="Times New Roman" w:eastAsia="Times New Roman" w:hAnsi="Times New Roman"/>
          <w:i/>
          <w:iCs/>
          <w:sz w:val="20"/>
          <w:szCs w:val="20"/>
        </w:rPr>
        <w:t xml:space="preserve">Out of scope:</w:t>
      </w:r>
    </w:p>
    <w:p>
      <w:pPr>
        <w:pStyle w:val="ListParagraph"/>
        <w:numPr>
          <w:ilvl w:val="0"/>
          <w:numId w:val="2"/>
        </w:numPr>
        <w:spacing w:after="40" w:line="240"/>
        <w:jc w:val="both"/>
      </w:pPr>
      <w:r>
        <w:rPr>
          <w:rFonts w:ascii="Times New Roman" w:cs="Times New Roman" w:eastAsia="Times New Roman" w:hAnsi="Times New Roman"/>
          <w:sz w:val="20"/>
          <w:szCs w:val="20"/>
        </w:rPr>
        <w:t xml:space="preserve">Physical robotic hardware or actuation—the system is deliberately software-only.</w:t>
      </w:r>
    </w:p>
    <w:p>
      <w:pPr>
        <w:pStyle w:val="ListParagraph"/>
        <w:numPr>
          <w:ilvl w:val="0"/>
          <w:numId w:val="2"/>
        </w:numPr>
        <w:spacing w:after="40" w:line="240"/>
        <w:jc w:val="both"/>
      </w:pPr>
      <w:r>
        <w:rPr>
          <w:rFonts w:ascii="Times New Roman" w:cs="Times New Roman" w:eastAsia="Times New Roman" w:hAnsi="Times New Roman"/>
          <w:sz w:val="20"/>
          <w:szCs w:val="20"/>
        </w:rPr>
        <w:t xml:space="preserve">Real-time, in-session closed-loop neurofeedback training of the kind used in the base paper’s online sessions.</w:t>
      </w:r>
    </w:p>
    <w:p>
      <w:pPr>
        <w:pStyle w:val="ListParagraph"/>
        <w:numPr>
          <w:ilvl w:val="0"/>
          <w:numId w:val="2"/>
        </w:numPr>
        <w:spacing w:after="40" w:line="240"/>
        <w:jc w:val="both"/>
      </w:pPr>
      <w:r>
        <w:rPr>
          <w:rFonts w:ascii="Times New Roman" w:cs="Times New Roman" w:eastAsia="Times New Roman" w:hAnsi="Times New Roman"/>
          <w:sz w:val="20"/>
          <w:szCs w:val="20"/>
        </w:rPr>
        <w:t xml:space="preserve">Clinical trials or evaluation on a patient population.</w:t>
      </w:r>
    </w:p>
    <w:p>
      <w:pPr>
        <w:pStyle w:val="ListParagraph"/>
        <w:numPr>
          <w:ilvl w:val="0"/>
          <w:numId w:val="2"/>
        </w:numPr>
        <w:spacing w:after="40" w:line="240"/>
        <w:jc w:val="both"/>
      </w:pPr>
      <w:r>
        <w:rPr>
          <w:rFonts w:ascii="Times New Roman" w:cs="Times New Roman" w:eastAsia="Times New Roman" w:hAnsi="Times New Roman"/>
          <w:sz w:val="20"/>
          <w:szCs w:val="20"/>
        </w:rPr>
        <w:t xml:space="preserve">Any call to an external large language model or third-party inference API.</w:t>
      </w:r>
    </w:p>
    <w:p>
      <w:pPr>
        <w:pStyle w:val="Heading1"/>
        <w:keepNext/>
        <w:spacing w:after="80" w:before="200"/>
        <w:jc w:val="center"/>
      </w:pPr>
      <w:r>
        <w:rPr>
          <w:rFonts w:ascii="Times New Roman" w:cs="Times New Roman" w:eastAsia="Times New Roman" w:hAnsi="Times New Roman"/>
          <w:smallCaps/>
          <w:sz w:val="20"/>
          <w:szCs w:val="20"/>
        </w:rPr>
        <w:t xml:space="preserve">4. Datasets</w:t>
      </w:r>
    </w:p>
    <w:p>
      <w:pPr>
        <w:pStyle w:val="Heading2"/>
        <w:keepNext/>
        <w:spacing w:after="60" w:before="120"/>
      </w:pPr>
      <w:r>
        <w:rPr>
          <w:rFonts w:ascii="Times New Roman" w:cs="Times New Roman" w:eastAsia="Times New Roman" w:hAnsi="Times New Roman"/>
          <w:i/>
          <w:iCs/>
          <w:sz w:val="20"/>
          <w:szCs w:val="20"/>
        </w:rPr>
        <w:t xml:space="preserve">4.1 PhysioNet EEG Motor Movement/Imagery Database (eegmmidb)</w:t>
      </w:r>
    </w:p>
    <w:p>
      <w:pPr>
        <w:spacing w:after="80" w:line="240"/>
        <w:ind w:firstLine="200"/>
        <w:jc w:val="both"/>
      </w:pPr>
      <w:r>
        <w:rPr>
          <w:rFonts w:ascii="Times New Roman" w:cs="Times New Roman" w:eastAsia="Times New Roman" w:hAnsi="Times New Roman"/>
          <w:sz w:val="20"/>
          <w:szCs w:val="20"/>
        </w:rPr>
        <w:t xml:space="preserve">The eegmmidb corpus [2], collected with the BCI2000 system [3], provides 64-channel EEG at 160 Hz from 109 subjects performing and imagining left/right fist movements and both-fists/both-feet movements, cued by on-screen prompts (T0 = rest; T1/T2 = the two movement classes for a given run). Five subjects (88, 92, 100, 104, 106) are excluded throughout this project because of a documented annotation-timing fault reported in prior BCI literature using this corpus.</w:t>
      </w:r>
    </w:p>
    <w:p>
      <w:pPr>
        <w:pStyle w:val="Heading2"/>
        <w:keepNext/>
        <w:spacing w:after="60" w:before="120"/>
      </w:pPr>
      <w:r>
        <w:rPr>
          <w:rFonts w:ascii="Times New Roman" w:cs="Times New Roman" w:eastAsia="Times New Roman" w:hAnsi="Times New Roman"/>
          <w:i/>
          <w:iCs/>
          <w:sz w:val="20"/>
          <w:szCs w:val="20"/>
        </w:rPr>
        <w:t xml:space="preserve">4.2 Finger-Level Dataset</w:t>
      </w:r>
    </w:p>
    <w:p>
      <w:pPr>
        <w:spacing w:after="80" w:line="240"/>
        <w:ind w:firstLine="200"/>
        <w:jc w:val="both"/>
      </w:pPr>
      <w:r>
        <w:rPr>
          <w:rFonts w:ascii="Times New Roman" w:cs="Times New Roman" w:eastAsia="Times New Roman" w:hAnsi="Times New Roman"/>
          <w:sz w:val="20"/>
          <w:szCs w:val="20"/>
        </w:rPr>
        <w:t xml:space="preserve">The base paper’s own dataset [7] provides 128-channel EEG across 21 subjects performing individual-finger ME and MI tasks, with an explicit real-time decoding log recorded alongside the raw EEG for each online session. This project evaluates the two configurations of the base paper’s validated pipeline—two-finger (thumb/pinky) and three-finger (thumb/index/pinky)—on one subject, S01, the only subject that could be downloaded (16.46 GB of the 502.77 GB corpus). The exploratory four-finger configuration (thumb/index/middle/pinky), which is not part of the authors’ validated pipeline, is not supported by the session-held-out protocol used here: the middle finger was recorded only in the offline session, so no later session can serve as a held-out test set. It was not attempted.</w:t>
      </w:r>
    </w:p>
    <w:p>
      <w:pPr>
        <w:pStyle w:val="Heading1"/>
        <w:keepNext/>
        <w:spacing w:after="80" w:before="200"/>
        <w:jc w:val="center"/>
      </w:pPr>
      <w:r>
        <w:rPr>
          <w:rFonts w:ascii="Times New Roman" w:cs="Times New Roman" w:eastAsia="Times New Roman" w:hAnsi="Times New Roman"/>
          <w:smallCaps/>
          <w:sz w:val="20"/>
          <w:szCs w:val="20"/>
        </w:rPr>
        <w:t xml:space="preserve">5. Proposed Methodology</w:t>
      </w:r>
    </w:p>
    <w:p>
      <w:pPr>
        <w:pStyle w:val="Heading2"/>
        <w:keepNext/>
        <w:spacing w:after="60" w:before="120"/>
      </w:pPr>
      <w:r>
        <w:rPr>
          <w:rFonts w:ascii="Times New Roman" w:cs="Times New Roman" w:eastAsia="Times New Roman" w:hAnsi="Times New Roman"/>
          <w:i/>
          <w:iCs/>
          <w:sz w:val="20"/>
          <w:szCs w:val="20"/>
        </w:rPr>
        <w:t xml:space="preserve">5.1 Preprocessing</w:t>
      </w:r>
    </w:p>
    <w:p>
      <w:pPr>
        <w:keepNext/>
        <w:spacing w:after="80" w:line="240"/>
        <w:ind w:firstLine="200"/>
        <w:jc w:val="both"/>
      </w:pPr>
      <w:r>
        <w:rPr>
          <w:rFonts w:ascii="Times New Roman" w:cs="Times New Roman" w:eastAsia="Times New Roman" w:hAnsi="Times New Roman"/>
          <w:sz w:val="20"/>
          <w:szCs w:val="20"/>
        </w:rPr>
        <w:t xml:space="preserve">Each recording </w:t>
      </w:r>
      <w:r>
        <w:rPr>
          <w:rFonts w:ascii="Times New Roman" w:cs="Times New Roman" w:eastAsia="Times New Roman" w:hAnsi="Times New Roman"/>
          <w:b/>
          <w:bCs/>
          <w:sz w:val="20"/>
          <w:szCs w:val="20"/>
        </w:rPr>
        <w:t xml:space="preserve">x</w:t>
      </w:r>
      <w:r>
        <w:rPr>
          <w:rFonts w:ascii="Times New Roman" w:cs="Times New Roman" w:eastAsia="Times New Roman" w:hAnsi="Times New Roman"/>
          <w:sz w:val="20"/>
          <w:szCs w:val="20"/>
        </w:rPr>
        <w:t xml:space="preserve"> with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channels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samples is re-referenced to the common average (1), band-pass filtered to 4–40 Hz (FIR), and segmented into overlapping windows of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 = 160 samples (1 s at 160 Hz) with a step of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20 samples (125 ms), matching the temporal resolution of the base paper’s released code. The number of windows per recording is given by (2).</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1314450" cy="428625"/>
            <wp:effectExtent t="0" r="0" b="0" l="0"/>
            <wp:docPr id="1" name="assets/eq_car.png" descr="assets/eq_car.png" title="assets/eq_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14450" cy="428625"/>
                    </a:xfrm>
                    <a:prstGeom prst="rect">
                      <a:avLst/>
                    </a:prstGeom>
                  </pic:spPr>
                </pic:pic>
              </a:graphicData>
            </a:graphic>
          </wp:inline>
        </w:drawing>
      </w:r>
      <w:r>
        <w:rPr>
          <w:rFonts w:ascii="Times New Roman" w:cs="Times New Roman" w:eastAsia="Times New Roman" w:hAnsi="Times New Roman"/>
          <w:sz w:val="20"/>
          <w:szCs w:val="20"/>
        </w:rPr>
        <w:t xml:space="preserve">	(1)</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1971675" cy="228600"/>
            <wp:effectExtent t="0" r="0" b="0" l="0"/>
            <wp:docPr id="1" name="assets/eq_win.png" descr="assets/eq_win.png" title="assets/eq_w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71675" cy="228600"/>
                    </a:xfrm>
                    <a:prstGeom prst="rect">
                      <a:avLst/>
                    </a:prstGeom>
                  </pic:spPr>
                </pic:pic>
              </a:graphicData>
            </a:graphic>
          </wp:inline>
        </w:drawing>
      </w:r>
      <w:r>
        <w:rPr>
          <w:rFonts w:ascii="Times New Roman" w:cs="Times New Roman" w:eastAsia="Times New Roman" w:hAnsi="Times New Roman"/>
          <w:sz w:val="20"/>
          <w:szCs w:val="20"/>
        </w:rPr>
        <w:t xml:space="preserve">	(2)</w:t>
      </w:r>
    </w:p>
    <w:p>
      <w:pPr>
        <w:keepNext/>
        <w:spacing w:after="80" w:line="240"/>
        <w:ind w:firstLine="200"/>
        <w:jc w:val="both"/>
      </w:pPr>
      <w:r>
        <w:rPr>
          <w:rFonts w:ascii="Times New Roman" w:cs="Times New Roman" w:eastAsia="Times New Roman" w:hAnsi="Times New Roman"/>
          <w:sz w:val="20"/>
          <w:szCs w:val="20"/>
        </w:rPr>
        <w:t xml:space="preserve">Each window is then independently z-score normalized per channel (3), where </w:t>
      </w:r>
      <w:r>
        <w:rPr>
          <w:rFonts w:ascii="Times New Roman" w:cs="Times New Roman" w:eastAsia="Times New Roman" w:hAnsi="Times New Roman"/>
          <w:i/>
          <w:iCs/>
          <w:sz w:val="20"/>
          <w:szCs w:val="20"/>
        </w:rPr>
        <w:t xml:space="preserve">μ</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σ</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are the mean and standard deviation of channel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within the window and </w:t>
      </w:r>
      <w:r>
        <w:rPr>
          <w:rFonts w:ascii="Times New Roman" w:cs="Times New Roman" w:eastAsia="Times New Roman" w:hAnsi="Times New Roman"/>
          <w:i/>
          <w:iCs/>
          <w:sz w:val="20"/>
          <w:szCs w:val="20"/>
        </w:rPr>
        <w:t xml:space="preserve">ε</w:t>
      </w:r>
      <w:r>
        <w:rPr>
          <w:rFonts w:ascii="Times New Roman" w:cs="Times New Roman" w:eastAsia="Times New Roman" w:hAnsi="Times New Roman"/>
          <w:sz w:val="20"/>
          <w:szCs w:val="20"/>
        </w:rPr>
        <w:t xml:space="preserve"> is a small constant for numerical stability. Every window retains a trial identifier, enabling trial-level majority-vote evaluation (Section 5.4) in addition to raw per-window accuracy.</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676275" cy="247650"/>
            <wp:effectExtent t="0" r="0" b="0" l="0"/>
            <wp:docPr id="1" name="assets/eq_z.png" descr="assets/eq_z.png" title="assets/eq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76275" cy="247650"/>
                    </a:xfrm>
                    <a:prstGeom prst="rect">
                      <a:avLst/>
                    </a:prstGeom>
                  </pic:spPr>
                </pic:pic>
              </a:graphicData>
            </a:graphic>
          </wp:inline>
        </w:drawing>
      </w:r>
      <w:r>
        <w:rPr>
          <w:rFonts w:ascii="Times New Roman" w:cs="Times New Roman" w:eastAsia="Times New Roman" w:hAnsi="Times New Roman"/>
          <w:sz w:val="20"/>
          <w:szCs w:val="20"/>
        </w:rPr>
        <w:t xml:space="preserve">	(3)</w:t>
      </w:r>
    </w:p>
    <w:p>
      <w:pPr>
        <w:pStyle w:val="Heading2"/>
        <w:keepNext/>
        <w:spacing w:after="60" w:before="120"/>
      </w:pPr>
      <w:r>
        <w:rPr>
          <w:rFonts w:ascii="Times New Roman" w:cs="Times New Roman" w:eastAsia="Times New Roman" w:hAnsi="Times New Roman"/>
          <w:i/>
          <w:iCs/>
          <w:sz w:val="20"/>
          <w:szCs w:val="20"/>
        </w:rPr>
        <w:t xml:space="preserve">5.2 Model Architectures</w:t>
      </w:r>
    </w:p>
    <w:p>
      <w:pPr>
        <w:spacing w:after="80" w:line="240"/>
        <w:ind w:firstLine="200"/>
        <w:jc w:val="both"/>
      </w:pPr>
      <w:r>
        <w:rPr>
          <w:rFonts w:ascii="Times New Roman" w:cs="Times New Roman" w:eastAsia="Times New Roman" w:hAnsi="Times New Roman"/>
          <w:i/>
          <w:iCs/>
          <w:sz w:val="20"/>
          <w:szCs w:val="20"/>
        </w:rPr>
        <w:t xml:space="preserve">EEGNet</w:t>
      </w:r>
      <w:r>
        <w:rPr>
          <w:rFonts w:ascii="Times New Roman" w:cs="Times New Roman" w:eastAsia="Times New Roman" w:hAnsi="Times New Roman"/>
          <w:sz w:val="20"/>
          <w:szCs w:val="20"/>
        </w:rPr>
        <w:t xml:space="preserve"> [4] is a compact convolutional network using depthwise and separable convolutions. Its hyperparameters were corrected during development to match the base paper’s values (F1=8, D=2, F2=16, temporal kernel length 32; Table I), which are also those of the official Finger-BCI-Decoding release.</w:t>
      </w:r>
    </w:p>
    <w:p>
      <w:pPr>
        <w:keepNext/>
        <w:spacing w:after="80" w:line="240"/>
        <w:ind w:firstLine="200"/>
        <w:jc w:val="both"/>
      </w:pPr>
      <w:r>
        <w:rPr>
          <w:rFonts w:ascii="Times New Roman" w:cs="Times New Roman" w:eastAsia="Times New Roman" w:hAnsi="Times New Roman"/>
          <w:i/>
          <w:iCs/>
          <w:sz w:val="20"/>
          <w:szCs w:val="20"/>
        </w:rPr>
        <w:t xml:space="preserve">TCFormer</w:t>
      </w:r>
      <w:r>
        <w:rPr>
          <w:rFonts w:ascii="Times New Roman" w:cs="Times New Roman" w:eastAsia="Times New Roman" w:hAnsi="Times New Roman"/>
          <w:sz w:val="20"/>
          <w:szCs w:val="20"/>
        </w:rPr>
        <w:t xml:space="preserve"> [5] is a temporal-convolutional Transformer combining a multi-kernel CNN front end, a grouped-query-attention Transformer encoder, and a TCN classification head, accessed through its maintained implementation in Braindecode [6]. The encoder applies scaled dot-product self-attention (4), with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sz w:val="20"/>
          <w:szCs w:val="20"/>
        </w:rPr>
        <w:t xml:space="preserve"> the key dimension.</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1876425" cy="342900"/>
            <wp:effectExtent t="0" r="0" b="0" l="0"/>
            <wp:docPr id="1" name="assets/eq_attn.png" descr="assets/eq_attn.png" title="assets/eq_at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76425" cy="342900"/>
                    </a:xfrm>
                    <a:prstGeom prst="rect">
                      <a:avLst/>
                    </a:prstGeom>
                  </pic:spPr>
                </pic:pic>
              </a:graphicData>
            </a:graphic>
          </wp:inline>
        </w:drawing>
      </w:r>
      <w:r>
        <w:rPr>
          <w:rFonts w:ascii="Times New Roman" w:cs="Times New Roman" w:eastAsia="Times New Roman" w:hAnsi="Times New Roman"/>
          <w:sz w:val="20"/>
          <w:szCs w:val="20"/>
        </w:rPr>
        <w:t xml:space="preserve">	(4)</w:t>
      </w:r>
    </w:p>
    <w:p>
      <w:pPr>
        <w:keepNext/>
        <w:spacing w:after="80" w:line="240"/>
        <w:ind w:firstLine="200"/>
        <w:jc w:val="both"/>
      </w:pPr>
      <w:r>
        <w:rPr>
          <w:rFonts w:ascii="Times New Roman" w:cs="Times New Roman" w:eastAsia="Times New Roman" w:hAnsi="Times New Roman"/>
          <w:sz w:val="20"/>
          <w:szCs w:val="20"/>
        </w:rPr>
        <w:t xml:space="preserve">Direct inspection of the model’s internal tensor shapes on this project’s 160-sample (1 s) windows revealed that TCFormer’s published default pooling configuration collapses the self-attention sequence to only two temporal tokens—an artifact of its benchmarks having used substantially longer (4–4.5 s) windows. The token count is approximately given by (5), where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are the two pooling lengths.</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723900" cy="257175"/>
            <wp:effectExtent t="0" r="0" b="0" l="0"/>
            <wp:docPr id="1" name="assets/eq_tok.png" descr="assets/eq_tok.png" title="assets/eq_to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723900" cy="257175"/>
                    </a:xfrm>
                    <a:prstGeom prst="rect">
                      <a:avLst/>
                    </a:prstGeom>
                  </pic:spPr>
                </pic:pic>
              </a:graphicData>
            </a:graphic>
          </wp:inline>
        </w:drawing>
      </w:r>
      <w:r>
        <w:rPr>
          <w:rFonts w:ascii="Times New Roman" w:cs="Times New Roman" w:eastAsia="Times New Roman" w:hAnsi="Times New Roman"/>
          <w:sz w:val="20"/>
          <w:szCs w:val="20"/>
        </w:rPr>
        <w:t xml:space="preserve">	(5)</w:t>
      </w:r>
    </w:p>
    <w:p>
      <w:pPr>
        <w:spacing w:after="80" w:line="240"/>
        <w:ind w:firstLine="200"/>
        <w:jc w:val="both"/>
      </w:pPr>
      <w:r>
        <w:rPr>
          <w:rFonts w:ascii="Times New Roman" w:cs="Times New Roman" w:eastAsia="Times New Roman" w:hAnsi="Times New Roman"/>
          <w:sz w:val="20"/>
          <w:szCs w:val="20"/>
        </w:rPr>
        <w:t xml:space="preserve">Reducing the pooling lengths to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=4 and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=2 restores twenty tokens at an identical parameter count (85,816), and was adopted as a targeted, empirically verified correction rather than a general hyperparameter search. The same relation predicts that a 2 s window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=320) yields forty tokens, which motivates the window-length ablation in Section 6.</w:t>
      </w:r>
    </w:p>
    <w:p>
      <w:pPr>
        <w:keepNext/>
        <w:spacing w:after="40" w:before="100"/>
        <w:jc w:val="center"/>
      </w:pPr>
      <w:r>
        <w:rPr>
          <w:rFonts w:ascii="Times New Roman" w:cs="Times New Roman" w:eastAsia="Times New Roman" w:hAnsi="Times New Roman"/>
          <w:smallCaps/>
          <w:sz w:val="16"/>
          <w:szCs w:val="16"/>
        </w:rPr>
        <w:t xml:space="preserve">Table I</w:t>
      </w:r>
      <w:r>
        <w:br/>
        <w:t xml:space="preserve"/>
      </w:r>
      <w:r>
        <w:rPr>
          <w:rFonts w:ascii="Times New Roman" w:cs="Times New Roman" w:eastAsia="Times New Roman" w:hAnsi="Times New Roman"/>
          <w:smallCaps/>
          <w:sz w:val="16"/>
          <w:szCs w:val="16"/>
        </w:rPr>
        <w:t xml:space="preserve">Key configuration values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300"/>
        <w:gridCol w:w="2740"/>
      </w:tblGrid>
      <w:tr>
        <w:trPr>
          <w:cantSplit/>
          <w:tblHeader/>
        </w:trPr>
        <w:tc>
          <w:tcPr>
            <w:tcW w:type="dxa" w:w="23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Parameter</w:t>
            </w:r>
          </w:p>
        </w:tc>
        <w:tc>
          <w:tcPr>
            <w:tcW w:type="dxa" w:w="274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Value</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Sampling rate / EEG channels (eegmmidb)</w:t>
            </w:r>
          </w:p>
        </w:tc>
        <w:tc>
          <w:tcPr>
            <w:tcW w:type="dxa" w:w="27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160 Hz / 64</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Band-pass filter</w:t>
            </w:r>
          </w:p>
        </w:tc>
        <w:tc>
          <w:tcPr>
            <w:tcW w:type="dxa" w:w="27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4–40 Hz (FIR)</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Window / step</w:t>
            </w:r>
          </w:p>
        </w:tc>
        <w:tc>
          <w:tcPr>
            <w:tcW w:type="dxa" w:w="27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160 samples (1 s) / 20 samples (125 ms)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EEGNet F1 / D / F2 / kernel</w:t>
            </w:r>
          </w:p>
        </w:tc>
        <w:tc>
          <w:tcPr>
            <w:tcW w:type="dxa" w:w="27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8 / 2 / 16 / 32</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Fine-tune dropout (all models)</w:t>
            </w:r>
          </w:p>
        </w:tc>
        <w:tc>
          <w:tcPr>
            <w:tcW w:type="dxa" w:w="27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0.65</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TCFormer pooling (</w:t>
            </w:r>
            <w:r>
              <w:rPr>
                <w:rFonts w:ascii="Times New Roman" w:cs="Times New Roman" w:eastAsia="Times New Roman" w:hAnsi="Times New Roman"/>
                <w:b w:val="false"/>
                <w:bCs w:val="false"/>
                <w:i/>
                <w:iCs/>
                <w:sz w:val="16"/>
                <w:szCs w:val="16"/>
              </w:rPr>
              <w:t xml:space="preserve">P</w:t>
            </w:r>
            <w:r>
              <w:rPr>
                <w:rFonts w:ascii="Times New Roman" w:cs="Times New Roman" w:eastAsia="Times New Roman" w:hAnsi="Times New Roman"/>
                <w:b w:val="false"/>
                <w:bCs w:val="false"/>
                <w:sz w:val="16"/>
                <w:szCs w:val="16"/>
                <w:vertAlign w:val="subscript"/>
              </w:rPr>
              <w:t xml:space="preserve">1</w:t>
            </w:r>
            <w:r>
              <w:rPr>
                <w:rFonts w:ascii="Times New Roman" w:cs="Times New Roman" w:eastAsia="Times New Roman" w:hAnsi="Times New Roman"/>
                <w:b w:val="false"/>
                <w:bCs w:val="false"/>
                <w:sz w:val="16"/>
                <w:szCs w:val="16"/>
              </w:rPr>
              <w:t xml:space="preserve">, </w:t>
            </w:r>
            <w:r>
              <w:rPr>
                <w:rFonts w:ascii="Times New Roman" w:cs="Times New Roman" w:eastAsia="Times New Roman" w:hAnsi="Times New Roman"/>
                <w:b w:val="false"/>
                <w:bCs w:val="false"/>
                <w:i/>
                <w:iCs/>
                <w:sz w:val="16"/>
                <w:szCs w:val="16"/>
              </w:rPr>
              <w:t xml:space="preserve">P</w:t>
            </w:r>
            <w:r>
              <w:rPr>
                <w:rFonts w:ascii="Times New Roman" w:cs="Times New Roman" w:eastAsia="Times New Roman" w:hAnsi="Times New Roman"/>
                <w:b w:val="false"/>
                <w:bCs w:val="false"/>
                <w:sz w:val="16"/>
                <w:szCs w:val="16"/>
                <w:vertAlign w:val="subscript"/>
              </w:rPr>
              <w:t xml:space="preserve">2</w:t>
            </w:r>
            <w:r>
              <w:rPr>
                <w:rFonts w:ascii="Times New Roman" w:cs="Times New Roman" w:eastAsia="Times New Roman" w:hAnsi="Times New Roman"/>
                <w:b w:val="false"/>
                <w:bCs w:val="false"/>
                <w:sz w:val="16"/>
                <w:szCs w:val="16"/>
              </w:rPr>
              <w:t xml:space="preserve">)</w:t>
            </w:r>
          </w:p>
        </w:tc>
        <w:tc>
          <w:tcPr>
            <w:tcW w:type="dxa" w:w="27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4, 2 (default gives 2 tokens)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TCFormer parameters</w:t>
            </w:r>
          </w:p>
        </w:tc>
        <w:tc>
          <w:tcPr>
            <w:tcW w:type="dxa" w:w="27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85,816</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Self-attention tokens</w:t>
            </w:r>
          </w:p>
        </w:tc>
        <w:tc>
          <w:tcPr>
            <w:tcW w:type="dxa" w:w="27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20 (1 s) / 40 (2 s ablation)</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Split (per mode, by whole trial)</w:t>
            </w:r>
          </w:p>
        </w:tc>
        <w:tc>
          <w:tcPr>
            <w:tcW w:type="dxa" w:w="27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first 60% of trials pretrain; remaining 40% split 20% fine-tune / 20% evaluation</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Excluded subjects</w:t>
            </w:r>
          </w:p>
        </w:tc>
        <w:tc>
          <w:tcPr>
            <w:tcW w:type="dxa" w:w="27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88, 92, 100, 104, 106</w:t>
            </w:r>
          </w:p>
        </w:tc>
      </w:tr>
    </w:tbl>
    <w:p>
      <w:pPr>
        <w:spacing w:after="60"/>
      </w:pPr>
    </w:p>
    <w:p>
      <w:pPr>
        <w:pStyle w:val="Heading2"/>
        <w:keepNext/>
        <w:spacing w:after="60" w:before="120"/>
      </w:pPr>
      <w:r>
        <w:rPr>
          <w:rFonts w:ascii="Times New Roman" w:cs="Times New Roman" w:eastAsia="Times New Roman" w:hAnsi="Times New Roman"/>
          <w:i/>
          <w:iCs/>
          <w:sz w:val="20"/>
          <w:szCs w:val="20"/>
        </w:rPr>
        <w:t xml:space="preserve">5.3 Hybrid Pretrain/Fine-Tune Protocol</w:t>
      </w:r>
    </w:p>
    <w:p>
      <w:pPr>
        <w:keepNext/>
        <w:spacing w:after="80" w:line="240"/>
        <w:ind w:firstLine="200"/>
        <w:jc w:val="both"/>
      </w:pPr>
      <w:r>
        <w:rPr>
          <w:rFonts w:ascii="Times New Roman" w:cs="Times New Roman" w:eastAsia="Times New Roman" w:hAnsi="Times New Roman"/>
          <w:sz w:val="20"/>
          <w:szCs w:val="20"/>
        </w:rPr>
        <w:t xml:space="preserve">A protocol was developed specifically for this project to address limited per-subject data. For each subject, let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ME</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MI</w:t>
      </w:r>
      <w:r>
        <w:rPr>
          <w:rFonts w:ascii="Times New Roman" w:cs="Times New Roman" w:eastAsia="Times New Roman" w:hAnsi="Times New Roman"/>
          <w:sz w:val="20"/>
          <w:szCs w:val="20"/>
        </w:rPr>
        <w:t xml:space="preserve"> be the windows from movement-execution and motor-imagery runs, and let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=3 be the number of classes. All training minimizes a class-weighted, label-smoothed cross-entropy (6), with smoothed targets and inverse-frequency class weights given by (7), where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sz w:val="20"/>
          <w:szCs w:val="20"/>
        </w:rPr>
        <w:t xml:space="preserve"> is the number of training windows of class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ε</w:t>
      </w:r>
      <w:r>
        <w:rPr>
          <w:rFonts w:ascii="Times New Roman" w:cs="Times New Roman" w:eastAsia="Times New Roman" w:hAnsi="Times New Roman"/>
          <w:sz w:val="20"/>
          <w:szCs w:val="20"/>
        </w:rPr>
        <w:t xml:space="preserve"> is the smoothing factor (</w:t>
      </w:r>
      <w:r>
        <w:rPr>
          <w:rFonts w:ascii="Times New Roman" w:cs="Times New Roman" w:eastAsia="Times New Roman" w:hAnsi="Times New Roman"/>
          <w:i/>
          <w:iCs/>
          <w:sz w:val="20"/>
          <w:szCs w:val="20"/>
        </w:rPr>
        <w:t xml:space="preserve">ε</w:t>
      </w:r>
      <w:r>
        <w:rPr>
          <w:rFonts w:ascii="Times New Roman" w:cs="Times New Roman" w:eastAsia="Times New Roman" w:hAnsi="Times New Roman"/>
          <w:sz w:val="20"/>
          <w:szCs w:val="20"/>
        </w:rPr>
        <w:t xml:space="preserve">=0 for EEGNet).</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2209800" cy="400050"/>
            <wp:effectExtent t="0" r="0" b="0" l="0"/>
            <wp:docPr id="1" name="assets/eq_ce.png" descr="assets/eq_ce.png" title="assets/eq_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09800" cy="400050"/>
                    </a:xfrm>
                    <a:prstGeom prst="rect">
                      <a:avLst/>
                    </a:prstGeom>
                  </pic:spPr>
                </pic:pic>
              </a:graphicData>
            </a:graphic>
          </wp:inline>
        </w:drawing>
      </w:r>
      <w:r>
        <w:rPr>
          <w:rFonts w:ascii="Times New Roman" w:cs="Times New Roman" w:eastAsia="Times New Roman" w:hAnsi="Times New Roman"/>
          <w:sz w:val="20"/>
          <w:szCs w:val="20"/>
        </w:rPr>
        <w:t xml:space="preserve">	(6)</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2124075" cy="257175"/>
            <wp:effectExtent t="0" r="0" b="0" l="0"/>
            <wp:docPr id="1" name="assets/eq_q.png" descr="assets/eq_q.png" title="assets/eq_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24075" cy="257175"/>
                    </a:xfrm>
                    <a:prstGeom prst="rect">
                      <a:avLst/>
                    </a:prstGeom>
                  </pic:spPr>
                </pic:pic>
              </a:graphicData>
            </a:graphic>
          </wp:inline>
        </w:drawing>
      </w:r>
      <w:r>
        <w:rPr>
          <w:rFonts w:ascii="Times New Roman" w:cs="Times New Roman" w:eastAsia="Times New Roman" w:hAnsi="Times New Roman"/>
          <w:sz w:val="20"/>
          <w:szCs w:val="20"/>
        </w:rPr>
        <w:t xml:space="preserve">	(7)</w:t>
      </w:r>
    </w:p>
    <w:p>
      <w:pPr>
        <w:keepNext/>
        <w:spacing w:after="80" w:line="240"/>
        <w:ind w:firstLine="200"/>
        <w:jc w:val="both"/>
      </w:pPr>
      <w:r>
        <w:rPr>
          <w:rFonts w:ascii="Times New Roman" w:cs="Times New Roman" w:eastAsia="Times New Roman" w:hAnsi="Times New Roman"/>
          <w:i/>
          <w:iCs/>
          <w:sz w:val="20"/>
          <w:szCs w:val="20"/>
        </w:rPr>
        <w:t xml:space="preserve">Stage 1 (pretraining).</w:t>
      </w:r>
      <w:r>
        <w:rPr>
          <w:rFonts w:ascii="Times New Roman" w:cs="Times New Roman" w:eastAsia="Times New Roman" w:hAnsi="Times New Roman"/>
          <w:sz w:val="20"/>
          <w:szCs w:val="20"/>
        </w:rPr>
        <w:t xml:space="preserve"> A single base model is pretrained on the pooled movement-execution and motor-imagery data (8), which preserves data volume.</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1724025" cy="257175"/>
            <wp:effectExtent t="0" r="0" b="0" l="0"/>
            <wp:docPr id="1" name="assets/eq_pre.png" descr="assets/eq_pre.png" title="assets/eq_p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24025" cy="257175"/>
                    </a:xfrm>
                    <a:prstGeom prst="rect">
                      <a:avLst/>
                    </a:prstGeom>
                  </pic:spPr>
                </pic:pic>
              </a:graphicData>
            </a:graphic>
          </wp:inline>
        </w:drawing>
      </w:r>
      <w:r>
        <w:rPr>
          <w:rFonts w:ascii="Times New Roman" w:cs="Times New Roman" w:eastAsia="Times New Roman" w:hAnsi="Times New Roman"/>
          <w:sz w:val="20"/>
          <w:szCs w:val="20"/>
        </w:rPr>
        <w:t xml:space="preserve">	(8)</w:t>
      </w:r>
    </w:p>
    <w:p>
      <w:pPr>
        <w:keepNext/>
        <w:spacing w:after="80" w:line="240"/>
        <w:ind w:firstLine="200"/>
        <w:jc w:val="both"/>
      </w:pPr>
      <w:r>
        <w:rPr>
          <w:rFonts w:ascii="Times New Roman" w:cs="Times New Roman" w:eastAsia="Times New Roman" w:hAnsi="Times New Roman"/>
          <w:i/>
          <w:iCs/>
          <w:sz w:val="20"/>
          <w:szCs w:val="20"/>
        </w:rPr>
        <w:t xml:space="preserve">Stage 2 (fine-tuning).</w:t>
      </w:r>
      <w:r>
        <w:rPr>
          <w:rFonts w:ascii="Times New Roman" w:cs="Times New Roman" w:eastAsia="Times New Roman" w:hAnsi="Times New Roman"/>
          <w:sz w:val="20"/>
          <w:szCs w:val="20"/>
        </w:rPr>
        <w:t xml:space="preserve"> The base model is cloned and independently fine-tuned into two mode-specialist copies (9), one for ME and one for MI, each evaluated only on held-out data of its own mode. Within each mode’s block, trials are ordered chronologically and split by whole trial: the first 60% form the pretraining pool, and the remaining 40% are divided by stratified sampling into 20% fine-tuning and 20% held-out evaluation trials. Validation sets for early stopping are also drawn by trial (15% of the pretraining trials and 20% of the fine-tuning trials). The split is made per mode because a single global chronological split would place an entire mode in the evaluation set (Section 6, v5). Splitting by trial matters: consecutive windows overlap by 87.5%, so a window-level split lets near-duplicate windows of one trial appear in both fine-tuning and evaluation data (Section 6, v10).</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2609850" cy="266700"/>
            <wp:effectExtent t="0" r="0" b="0" l="0"/>
            <wp:docPr id="1" name="assets/eq_ft.png" descr="assets/eq_ft.png" title="assets/eq_f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9850" cy="266700"/>
                    </a:xfrm>
                    <a:prstGeom prst="rect">
                      <a:avLst/>
                    </a:prstGeom>
                  </pic:spPr>
                </pic:pic>
              </a:graphicData>
            </a:graphic>
          </wp:inline>
        </w:drawing>
      </w:r>
      <w:r>
        <w:rPr>
          <w:rFonts w:ascii="Times New Roman" w:cs="Times New Roman" w:eastAsia="Times New Roman" w:hAnsi="Times New Roman"/>
          <w:sz w:val="20"/>
          <w:szCs w:val="20"/>
        </w:rPr>
        <w:t xml:space="preserve">	(9)</w:t>
      </w:r>
    </w:p>
    <w:p>
      <w:pPr>
        <w:keepNext/>
        <w:spacing w:after="80" w:line="240"/>
        <w:ind w:firstLine="200"/>
        <w:jc w:val="both"/>
      </w:pPr>
      <w:r>
        <w:rPr>
          <w:rFonts w:ascii="Times New Roman" w:cs="Times New Roman" w:eastAsia="Times New Roman" w:hAnsi="Times New Roman"/>
          <w:i/>
          <w:iCs/>
          <w:sz w:val="20"/>
          <w:szCs w:val="20"/>
        </w:rPr>
        <w:t xml:space="preserve">Optimization.</w:t>
      </w:r>
      <w:r>
        <w:rPr>
          <w:rFonts w:ascii="Times New Roman" w:cs="Times New Roman" w:eastAsia="Times New Roman" w:hAnsi="Times New Roman"/>
          <w:sz w:val="20"/>
          <w:szCs w:val="20"/>
        </w:rPr>
        <w:t xml:space="preserve"> EEGNet is trained with Adam [21] and ReduceLROnPlateau scheduling. TCFormer additionally uses AdamW (10) [22], where </w:t>
      </w:r>
      <w:r>
        <w:rPr>
          <w:rFonts w:ascii="Times New Roman" w:cs="Times New Roman" w:eastAsia="Times New Roman" w:hAnsi="Times New Roman"/>
          <w:i/>
          <w:iCs/>
          <w:sz w:val="20"/>
          <w:szCs w:val="20"/>
        </w:rPr>
        <w:t xml:space="preserve">m̂</w:t>
      </w:r>
      <w:r>
        <w:rPr>
          <w:rFonts w:ascii="Times New Roman" w:cs="Times New Roman" w:eastAsia="Times New Roman" w:hAnsi="Times New Roman"/>
          <w:i/>
          <w:iCs/>
          <w:sz w:val="20"/>
          <w:szCs w:val="20"/>
          <w:vertAlign w:val="subscript"/>
        </w:rPr>
        <w:t xml:space="preserve">t</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v̂</w:t>
      </w:r>
      <w:r>
        <w:rPr>
          <w:rFonts w:ascii="Times New Roman" w:cs="Times New Roman" w:eastAsia="Times New Roman" w:hAnsi="Times New Roman"/>
          <w:i/>
          <w:iCs/>
          <w:sz w:val="20"/>
          <w:szCs w:val="20"/>
          <w:vertAlign w:val="subscript"/>
        </w:rPr>
        <w:t xml:space="preserve">t</w:t>
      </w:r>
      <w:r>
        <w:rPr>
          <w:rFonts w:ascii="Times New Roman" w:cs="Times New Roman" w:eastAsia="Times New Roman" w:hAnsi="Times New Roman"/>
          <w:sz w:val="20"/>
          <w:szCs w:val="20"/>
        </w:rPr>
        <w:t xml:space="preserve"> are the bias-corrected first and second moment estimates and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is the decoupled weight-decay coefficient, together with a linear-warmup/cosine-decay learning-rate schedule (11) over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steps with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w</w:t>
      </w:r>
      <w:r>
        <w:rPr>
          <w:rFonts w:ascii="Times New Roman" w:cs="Times New Roman" w:eastAsia="Times New Roman" w:hAnsi="Times New Roman"/>
          <w:sz w:val="20"/>
          <w:szCs w:val="20"/>
        </w:rPr>
        <w:t xml:space="preserve"> warm-up steps [23] and label smoothing [24]—standard Transformer training practice not applied to EEGNet, whose tuning was left undisturbed. For TCFormer, </w:t>
      </w:r>
      <w:r>
        <w:rPr>
          <w:rFonts w:ascii="Times New Roman" w:cs="Times New Roman" w:eastAsia="Times New Roman" w:hAnsi="Times New Roman"/>
          <w:i/>
          <w:iCs/>
          <w:sz w:val="20"/>
          <w:szCs w:val="20"/>
        </w:rPr>
        <w:t xml:space="preserve">η</w:t>
      </w:r>
      <w:r>
        <w:rPr>
          <w:rFonts w:ascii="Times New Roman" w:cs="Times New Roman" w:eastAsia="Times New Roman" w:hAnsi="Times New Roman"/>
          <w:sz w:val="20"/>
          <w:szCs w:val="20"/>
          <w:vertAlign w:val="subscript"/>
        </w:rPr>
        <w:t xml:space="preserve">max</w:t>
      </w:r>
      <w:r>
        <w:rPr>
          <w:rFonts w:ascii="Times New Roman" w:cs="Times New Roman" w:eastAsia="Times New Roman" w:hAnsi="Times New Roman"/>
          <w:sz w:val="20"/>
          <w:szCs w:val="20"/>
        </w:rPr>
        <w:t xml:space="preserve"> = 5×10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for pretraining and 3×10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for fine-tuning, </w:t>
      </w:r>
      <w:r>
        <w:rPr>
          <w:rFonts w:ascii="Times New Roman" w:cs="Times New Roman" w:eastAsia="Times New Roman" w:hAnsi="Times New Roman"/>
          <w:i/>
          <w:iCs/>
          <w:sz w:val="20"/>
          <w:szCs w:val="20"/>
        </w:rPr>
        <w:t xml:space="preserve">η</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 0,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w</w:t>
      </w:r>
      <w:r>
        <w:rPr>
          <w:rFonts w:ascii="Times New Roman" w:cs="Times New Roman" w:eastAsia="Times New Roman" w:hAnsi="Times New Roman"/>
          <w:sz w:val="20"/>
          <w:szCs w:val="20"/>
        </w:rPr>
        <w:t xml:space="preserve"> is 10% of the total steps,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 10</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ε</w:t>
      </w:r>
      <w:r>
        <w:rPr>
          <w:rFonts w:ascii="Times New Roman" w:cs="Times New Roman" w:eastAsia="Times New Roman" w:hAnsi="Times New Roman"/>
          <w:sz w:val="20"/>
          <w:szCs w:val="20"/>
        </w:rPr>
        <w:t xml:space="preserve"> = 0.1; the batch size is 16, and training runs for at most 250 (pretraining) and 100 (fine-tuning) epochs with early-stopping patience 25 and 18. EEGNet uses Adam with learning rates of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and 5×10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ReduceLROnPlateau (factor 0.5, patience 8), at most 150 and 60 epochs, and patience 20 and 12. During fine-tuning, dropout is set to 0.65 and only the last 50% (TCFormer) or 30% (EEGNet) of the parameters are updated. Training batches are augmented with Gaussian noise (</w:t>
      </w:r>
      <w:r>
        <w:rPr>
          <w:rFonts w:ascii="Times New Roman" w:cs="Times New Roman" w:eastAsia="Times New Roman" w:hAnsi="Times New Roman"/>
          <w:i/>
          <w:iCs/>
          <w:sz w:val="20"/>
          <w:szCs w:val="20"/>
        </w:rPr>
        <w:t xml:space="preserve">σ</w:t>
      </w:r>
      <w:r>
        <w:rPr>
          <w:rFonts w:ascii="Times New Roman" w:cs="Times New Roman" w:eastAsia="Times New Roman" w:hAnsi="Times New Roman"/>
          <w:sz w:val="20"/>
          <w:szCs w:val="20"/>
        </w:rPr>
        <w:t xml:space="preserve"> = 0.05) and a random circular time shift of up to ±8 samples. Early stopping and learning-rate scheduling use validation trials held out from the training trials; the evaluation trials are never used for gradient updates or early stopping. Light augmentation (additive noise and time shift) is applied to training data only.</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1590675" cy="333375"/>
            <wp:effectExtent t="0" r="0" b="0" l="0"/>
            <wp:docPr id="1" name="assets/eq_adamw.png" descr="assets/eq_adamw.png" title="assets/eq_adam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90675" cy="333375"/>
                    </a:xfrm>
                    <a:prstGeom prst="rect">
                      <a:avLst/>
                    </a:prstGeom>
                  </pic:spPr>
                </pic:pic>
              </a:graphicData>
            </a:graphic>
          </wp:inline>
        </w:drawing>
      </w:r>
      <w:r>
        <w:rPr>
          <w:rFonts w:ascii="Times New Roman" w:cs="Times New Roman" w:eastAsia="Times New Roman" w:hAnsi="Times New Roman"/>
          <w:sz w:val="20"/>
          <w:szCs w:val="20"/>
        </w:rPr>
        <w:t xml:space="preserve">	(10)</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1257300" cy="247650"/>
            <wp:effectExtent t="0" r="0" b="0" l="0"/>
            <wp:docPr id="1" name="assets/eq_lr1.png" descr="assets/eq_lr1.png" title="assets/eq_l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257300" cy="247650"/>
                    </a:xfrm>
                    <a:prstGeom prst="rect">
                      <a:avLst/>
                    </a:prstGeom>
                  </pic:spPr>
                </pic:pic>
              </a:graphicData>
            </a:graphic>
          </wp:inline>
        </w:drawing>
      </w:r>
      <w:r>
        <w:rPr>
          <w:rFonts w:ascii="Times New Roman" w:cs="Times New Roman" w:eastAsia="Times New Roman" w:hAnsi="Times New Roman"/>
          <w:sz w:val="20"/>
          <w:szCs w:val="20"/>
        </w:rPr>
        <w:t xml:space="preserve">	(11a)</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2876550" cy="276225"/>
            <wp:effectExtent t="0" r="0" b="0" l="0"/>
            <wp:docPr id="1" name="assets/eq_lr2.png" descr="assets/eq_lr2.png" title="assets/eq_l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76550" cy="276225"/>
                    </a:xfrm>
                    <a:prstGeom prst="rect">
                      <a:avLst/>
                    </a:prstGeom>
                  </pic:spPr>
                </pic:pic>
              </a:graphicData>
            </a:graphic>
          </wp:inline>
        </w:drawing>
      </w:r>
      <w:r>
        <w:rPr>
          <w:rFonts w:ascii="Times New Roman" w:cs="Times New Roman" w:eastAsia="Times New Roman" w:hAnsi="Times New Roman"/>
          <w:sz w:val="20"/>
          <w:szCs w:val="20"/>
        </w:rPr>
        <w:t xml:space="preserve">	(11b)</w:t>
      </w:r>
    </w:p>
    <w:p>
      <w:pPr>
        <w:pStyle w:val="Heading2"/>
        <w:keepNext/>
        <w:spacing w:after="60" w:before="120"/>
      </w:pPr>
      <w:r>
        <w:rPr>
          <w:rFonts w:ascii="Times New Roman" w:cs="Times New Roman" w:eastAsia="Times New Roman" w:hAnsi="Times New Roman"/>
          <w:i/>
          <w:iCs/>
          <w:sz w:val="20"/>
          <w:szCs w:val="20"/>
        </w:rPr>
        <w:t xml:space="preserve">5.4 Evaluation Methodology</w:t>
      </w:r>
    </w:p>
    <w:p>
      <w:pPr>
        <w:keepNext/>
        <w:spacing w:after="80" w:line="240"/>
        <w:ind w:firstLine="200"/>
        <w:jc w:val="both"/>
      </w:pPr>
      <w:r>
        <w:rPr>
          <w:rFonts w:ascii="Times New Roman" w:cs="Times New Roman" w:eastAsia="Times New Roman" w:hAnsi="Times New Roman"/>
          <w:sz w:val="20"/>
          <w:szCs w:val="20"/>
        </w:rPr>
        <w:t xml:space="preserve">Two accuracy metrics are reported throughout. The raw per-window accuracy is (12), where </w:t>
      </w:r>
      <w:r>
        <w:rPr>
          <w:rFonts w:ascii="Times New Roman" w:cs="Times New Roman" w:eastAsia="Times New Roman" w:hAnsi="Times New Roman"/>
          <w:i/>
          <w:iCs/>
          <w:sz w:val="20"/>
          <w:szCs w:val="20"/>
        </w:rPr>
        <w:t xml:space="preserve">ŷ</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y</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are the predicted and true labels of window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1371600" cy="409575"/>
            <wp:effectExtent t="0" r="0" b="0" l="0"/>
            <wp:docPr id="1" name="assets/eq_accw.png" descr="assets/eq_accw.png" title="assets/eq_acc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71600" cy="409575"/>
                    </a:xfrm>
                    <a:prstGeom prst="rect">
                      <a:avLst/>
                    </a:prstGeom>
                  </pic:spPr>
                </pic:pic>
              </a:graphicData>
            </a:graphic>
          </wp:inline>
        </w:drawing>
      </w:r>
      <w:r>
        <w:rPr>
          <w:rFonts w:ascii="Times New Roman" w:cs="Times New Roman" w:eastAsia="Times New Roman" w:hAnsi="Times New Roman"/>
          <w:sz w:val="20"/>
          <w:szCs w:val="20"/>
        </w:rPr>
        <w:t xml:space="preserve">	(12)</w:t>
      </w:r>
    </w:p>
    <w:p>
      <w:pPr>
        <w:keepNext/>
        <w:spacing w:after="80" w:line="240"/>
        <w:ind w:firstLine="200"/>
        <w:jc w:val="both"/>
      </w:pPr>
      <w:r>
        <w:rPr>
          <w:rFonts w:ascii="Times New Roman" w:cs="Times New Roman" w:eastAsia="Times New Roman" w:hAnsi="Times New Roman"/>
          <w:sz w:val="20"/>
          <w:szCs w:val="20"/>
        </w:rPr>
        <w:t xml:space="preserve">The trial-level majority-vote accuracy matches the base paper’s own primary metric: every window in the set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τ</w:t>
      </w:r>
      <w:r>
        <w:rPr>
          <w:rFonts w:ascii="Times New Roman" w:cs="Times New Roman" w:eastAsia="Times New Roman" w:hAnsi="Times New Roman"/>
          <w:sz w:val="20"/>
          <w:szCs w:val="20"/>
        </w:rPr>
        <w:t xml:space="preserve"> belonging to trial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sz w:val="20"/>
          <w:szCs w:val="20"/>
        </w:rPr>
        <w:t xml:space="preserve"> casts a vote, and the trial’s predicted label is the majority class (13); the accuracy is the fraction of trials labelled correctly (14), where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τ</w:t>
      </w:r>
      <w:r>
        <w:rPr>
          <w:rFonts w:ascii="Times New Roman" w:cs="Times New Roman" w:eastAsia="Times New Roman" w:hAnsi="Times New Roman"/>
          <w:sz w:val="20"/>
          <w:szCs w:val="20"/>
        </w:rPr>
        <w:t xml:space="preserve"> is the number of trials.</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1447800" cy="323850"/>
            <wp:effectExtent t="0" r="0" b="0" l="0"/>
            <wp:docPr id="1" name="assets/eq_vote.png" descr="assets/eq_vote.png" title="assets/eq_vo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47800" cy="323850"/>
                    </a:xfrm>
                    <a:prstGeom prst="rect">
                      <a:avLst/>
                    </a:prstGeom>
                  </pic:spPr>
                </pic:pic>
              </a:graphicData>
            </a:graphic>
          </wp:inline>
        </w:drawing>
      </w:r>
      <w:r>
        <w:rPr>
          <w:rFonts w:ascii="Times New Roman" w:cs="Times New Roman" w:eastAsia="Times New Roman" w:hAnsi="Times New Roman"/>
          <w:sz w:val="20"/>
          <w:szCs w:val="20"/>
        </w:rPr>
        <w:t xml:space="preserve">	(13)</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1419225" cy="409575"/>
            <wp:effectExtent t="0" r="0" b="0" l="0"/>
            <wp:docPr id="1" name="assets/eq_acct.png" descr="assets/eq_acct.png" title="assets/eq_ac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19225" cy="409575"/>
                    </a:xfrm>
                    <a:prstGeom prst="rect">
                      <a:avLst/>
                    </a:prstGeom>
                  </pic:spPr>
                </pic:pic>
              </a:graphicData>
            </a:graphic>
          </wp:inline>
        </w:drawing>
      </w:r>
      <w:r>
        <w:rPr>
          <w:rFonts w:ascii="Times New Roman" w:cs="Times New Roman" w:eastAsia="Times New Roman" w:hAnsi="Times New Roman"/>
          <w:sz w:val="20"/>
          <w:szCs w:val="20"/>
        </w:rPr>
        <w:t xml:space="preserve">	(14)</w:t>
      </w:r>
    </w:p>
    <w:p>
      <w:pPr>
        <w:keepNext/>
        <w:spacing w:after="80" w:line="240"/>
        <w:ind w:firstLine="200"/>
        <w:jc w:val="both"/>
      </w:pPr>
      <w:r>
        <w:rPr>
          <w:rFonts w:ascii="Times New Roman" w:cs="Times New Roman" w:eastAsia="Times New Roman" w:hAnsi="Times New Roman"/>
          <w:sz w:val="20"/>
          <w:szCs w:val="20"/>
        </w:rPr>
        <w:t xml:space="preserve">Because one model is trained per subject, results are reported as the group mean and standard deviation of per-subject accuracy </w:t>
      </w:r>
      <w:r>
        <w:rPr>
          <w:rFonts w:ascii="Times New Roman" w:cs="Times New Roman" w:eastAsia="Times New Roman" w:hAnsi="Times New Roman"/>
          <w:i/>
          <w:iCs/>
          <w:sz w:val="20"/>
          <w:szCs w:val="20"/>
        </w:rPr>
        <w:t xml:space="preserve">A</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over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subjects (15). With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=3 classes, chance level is 1/</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33.3%.</w:t>
      </w:r>
    </w:p>
    <w:p>
      <w:pPr>
        <w:keepLines/>
        <w:tabs>
          <w:tab w:val="center" w:pos="2520"/>
          <w:tab w:val="right" w:pos="5040"/>
        </w:tabs>
        <w:spacing w:after="60" w:before="40"/>
      </w:pPr>
      <w:r>
        <w:rPr>
          <w:rFonts w:ascii="Times New Roman" w:cs="Times New Roman" w:eastAsia="Times New Roman" w:hAnsi="Times New Roman"/>
          <w:sz w:val="20"/>
          <w:szCs w:val="20"/>
        </w:rPr>
        <w:t xml:space="preserve">	</w:t>
      </w:r>
      <w:r>
        <w:drawing>
          <wp:inline distT="0" distB="0" distL="0" distR="0">
            <wp:extent cx="2124075" cy="457200"/>
            <wp:effectExtent t="0" r="0" b="0" l="0"/>
            <wp:docPr id="1" name="assets/eq_grp.png" descr="assets/eq_grp.png" title="assets/eq_gr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24075" cy="457200"/>
                    </a:xfrm>
                    <a:prstGeom prst="rect">
                      <a:avLst/>
                    </a:prstGeom>
                  </pic:spPr>
                </pic:pic>
              </a:graphicData>
            </a:graphic>
          </wp:inline>
        </w:drawing>
      </w:r>
      <w:r>
        <w:rPr>
          <w:rFonts w:ascii="Times New Roman" w:cs="Times New Roman" w:eastAsia="Times New Roman" w:hAnsi="Times New Roman"/>
          <w:sz w:val="20"/>
          <w:szCs w:val="20"/>
        </w:rPr>
        <w:t xml:space="preserve">	(15)</w:t>
      </w:r>
    </w:p>
    <w:p>
      <w:pPr>
        <w:sectPr>
          <w:footerReference w:type="default" r:id="rId8"/>
          <w:type w:val="continuous"/>
          <w:pgSz w:w="12240" w:h="15840" w:orient="portrait"/>
          <w:pgMar w:top="1080" w:right="900" w:bottom="1200" w:left="900" w:header="500" w:footer="500" w:gutter="0"/>
          <w:pgNumType/>
          <w:cols w:space="360" w:num="2"/>
          <w:docGrid w:linePitch="360"/>
        </w:sectPr>
      </w:pPr>
    </w:p>
    <w:p>
      <w:pPr>
        <w:pStyle w:val="Heading1"/>
        <w:keepNext/>
        <w:spacing w:after="80" w:before="200"/>
        <w:jc w:val="center"/>
      </w:pPr>
      <w:r>
        <w:rPr>
          <w:rFonts w:ascii="Times New Roman" w:cs="Times New Roman" w:eastAsia="Times New Roman" w:hAnsi="Times New Roman"/>
          <w:smallCaps/>
          <w:sz w:val="20"/>
          <w:szCs w:val="20"/>
        </w:rPr>
        <w:t xml:space="preserve">6. Development Timeline</w:t>
      </w:r>
    </w:p>
    <w:p>
      <w:pPr>
        <w:spacing w:after="80" w:line="240"/>
        <w:ind w:firstLine="200"/>
        <w:jc w:val="both"/>
      </w:pPr>
      <w:r>
        <w:rPr>
          <w:rFonts w:ascii="Times New Roman" w:cs="Times New Roman" w:eastAsia="Times New Roman" w:hAnsi="Times New Roman"/>
          <w:sz w:val="20"/>
          <w:szCs w:val="20"/>
        </w:rPr>
        <w:t xml:space="preserve">The method changed over eleven iterations. Several of them were fixes for real methodological errors, not hyperparameter tuning. We report the whole history so that others can reproduce it and see what went wrong. Fig. 2 shows the three-tier software architecture the models are deployed in, and Table II lists every iteration with its result.</w:t>
      </w:r>
    </w:p>
    <w:p>
      <w:pPr>
        <w:keepNext/>
        <w:spacing w:after="20" w:before="80"/>
        <w:jc w:val="center"/>
      </w:pPr>
      <w:r>
        <w:drawing>
          <wp:inline distT="0" distB="0" distL="0" distR="0">
            <wp:extent cx="6400800" cy="3486150"/>
            <wp:effectExtent t="0" r="0" b="0" l="0"/>
            <wp:docPr id="1" name="assets/arch.jpg" descr="assets/arch.jpg" title="assets/ar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400800" cy="3486150"/>
                    </a:xfrm>
                    <a:prstGeom prst="rect">
                      <a:avLst/>
                    </a:prstGeom>
                  </pic:spPr>
                </pic:pic>
              </a:graphicData>
            </a:graphic>
          </wp:inline>
        </w:drawing>
      </w:r>
    </w:p>
    <w:p>
      <w:pPr>
        <w:spacing w:after="120" w:before="40"/>
        <w:jc w:val="center"/>
      </w:pPr>
      <w:r>
        <w:rPr>
          <w:rFonts w:ascii="Times New Roman" w:cs="Times New Roman" w:eastAsia="Times New Roman" w:hAnsi="Times New Roman"/>
          <w:sz w:val="16"/>
          <w:szCs w:val="16"/>
        </w:rPr>
        <w:t xml:space="preserve">Fig. 2. NeuroBot three-tier architecture: presentation (Decode Console), application and ML logic (FastAPI server, preprocessing pipeline, EEGNet and TCFormer pathways, majority vote), and data and storage (EEG datasets, model checkpoints, decode logs). The system is software-only, uses self-trained models, and calls no external API.</w:t>
      </w:r>
    </w:p>
    <w:p>
      <w:pPr>
        <w:keepNext/>
        <w:spacing w:after="40" w:before="100"/>
        <w:jc w:val="center"/>
      </w:pPr>
      <w:r>
        <w:rPr>
          <w:rFonts w:ascii="Times New Roman" w:cs="Times New Roman" w:eastAsia="Times New Roman" w:hAnsi="Times New Roman"/>
          <w:smallCaps/>
          <w:sz w:val="16"/>
          <w:szCs w:val="16"/>
        </w:rPr>
        <w:t xml:space="preserve">Table II</w:t>
      </w:r>
      <w:r>
        <w:br/>
        <w:t xml:space="preserve"/>
      </w:r>
      <w:r>
        <w:rPr>
          <w:rFonts w:ascii="Times New Roman" w:cs="Times New Roman" w:eastAsia="Times New Roman" w:hAnsi="Times New Roman"/>
          <w:smallCaps/>
          <w:sz w:val="16"/>
          <w:szCs w:val="16"/>
        </w:rPr>
        <w:t xml:space="preserve">Development timeline, v1 to v11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700"/>
        <w:gridCol w:w="4640"/>
        <w:gridCol w:w="5100"/>
      </w:tblGrid>
      <w:tr>
        <w:trPr>
          <w:cantSplit/>
          <w:tblHeader/>
        </w:trPr>
        <w:tc>
          <w:tcPr>
            <w:tcW w:type="dxa" w:w="7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w:t>
            </w:r>
          </w:p>
        </w:tc>
        <w:tc>
          <w:tcPr>
            <w:tcW w:type="dxa" w:w="464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Change</w:t>
            </w:r>
          </w:p>
        </w:tc>
        <w:tc>
          <w:tcPr>
            <w:tcW w:type="dxa" w:w="51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Result</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v1</w:t>
            </w:r>
          </w:p>
        </w:tc>
        <w:tc>
          <w:tcPr>
            <w:tcW w:type="dxa" w:w="4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Single-subject EEGNet baseline (3-class left/rest/right).</w:t>
            </w:r>
          </w:p>
        </w:tc>
        <w:tc>
          <w:tcPr>
            <w:tcW w:type="dxa" w:w="51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64.2% per-window accuracy (chance = 33%).</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v2</w:t>
            </w:r>
          </w:p>
        </w:tc>
        <w:tc>
          <w:tcPr>
            <w:tcW w:type="dxa" w:w="4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10-subject pooled training; later found to leak subject identity across the train/test split (pooled subjects were split by raw index, so the model trained on early subjects and was evaluated on unseen later ones).</w:t>
            </w:r>
          </w:p>
        </w:tc>
        <w:tc>
          <w:tcPr>
            <w:tcW w:type="dxa" w:w="51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~57% on both tasks—discarded once diagnosed as cross-subject transfer rather than genuine within-subject accuracy.</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v3</w:t>
            </w:r>
          </w:p>
        </w:tc>
        <w:tc>
          <w:tcPr>
            <w:tcW w:type="dxa" w:w="4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Per-subject methodology (one model per subject, matching the base paper); leakage bug fixed.</w:t>
            </w:r>
          </w:p>
        </w:tc>
        <w:tc>
          <w:tcPr>
            <w:tcW w:type="dxa" w:w="51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A 65.2%, Task B 68.9% (10-subject majority-vote means).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v4</w:t>
            </w:r>
          </w:p>
        </w:tc>
        <w:tc>
          <w:tcPr>
            <w:tcW w:type="dxa" w:w="4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Fully separated ME and MI models (no pooling).</w:t>
            </w:r>
          </w:p>
        </w:tc>
        <w:tc>
          <w:tcPr>
            <w:tcW w:type="dxa" w:w="51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A 59.8% on average—a regression, diagnosed as data starvation (each mode loses half its training runs).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v5</w:t>
            </w:r>
          </w:p>
        </w:tc>
        <w:tc>
          <w:tcPr>
            <w:tcW w:type="dxa" w:w="4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Hybrid pretrain (pooled) / fine-tune (per-mode) protocol introduced; within-mode 70/30 split fix.</w:t>
            </w:r>
          </w:p>
        </w:tc>
        <w:tc>
          <w:tcPr>
            <w:tcW w:type="dxa" w:w="51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A ME 74.1% / MI 66.3%; Task B ME 76.3% / MI 71.1%.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v6</w:t>
            </w:r>
          </w:p>
        </w:tc>
        <w:tc>
          <w:tcPr>
            <w:tcW w:type="dxa" w:w="4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Ensemble of ME- and MI-specialist EEGNet models (same architecture).</w:t>
            </w:r>
          </w:p>
        </w:tc>
        <w:tc>
          <w:tcPr>
            <w:tcW w:type="dxa" w:w="51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Accuracy fell by 1.9–4.6 points in the original run and by 0.7–0.9 points in a later rerun—discarded as no improvement; diagnosed as averaging in an unreliable off-mode opinion.</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v7</w:t>
            </w:r>
          </w:p>
        </w:tc>
        <w:tc>
          <w:tcPr>
            <w:tcW w:type="dxa" w:w="4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TCFormer introduced via Braindecode, same hybrid protocol.</w:t>
            </w:r>
          </w:p>
        </w:tc>
        <w:tc>
          <w:tcPr>
            <w:tcW w:type="dxa" w:w="51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Beat EEGNet on all four task/mode conditions in a like-for-like re-run (+3.7 to +17.4 points); flagship best-subject exports of 81.4% / 86.4% per-window accuracy. Window-level split; not repeated under the trial-level split.</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v8</w:t>
            </w:r>
          </w:p>
        </w:tc>
        <w:tc>
          <w:tcPr>
            <w:tcW w:type="dxa" w:w="4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TCFormer pooling-bottleneck fix (2 → 20 tokens) plus AdamW, warm-up, cosine decay, and label smoothing.</w:t>
            </w:r>
          </w:p>
        </w:tc>
        <w:tc>
          <w:tcPr>
            <w:tcW w:type="dxa" w:w="51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Window-level split. Group means: Task A ME 75.2% / MI 65.2%; Task B ME 80.7% / MI 75.6%. Flagship fine-tune validation accuracy 86.8% (Task A) / 95.6% (Task B).</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v9</w:t>
            </w:r>
          </w:p>
        </w:tc>
        <w:tc>
          <w:tcPr>
            <w:tcW w:type="dxa" w:w="4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Window-length ablation (1 s → 2 s windows, 20 → 40 self-attention tokens at identical parameter count), TCFormer only, Task A, four subjects. A planned cross-architecture EEGNet+TCFormer ensemble was dropped when EEGNet runs were removed to cut training time from 5–7 h.</w:t>
            </w:r>
          </w:p>
        </w:tc>
        <w:tc>
          <w:tcPr>
            <w:tcW w:type="dxa" w:w="51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Inconclusive: 2 s windows changed executed-movement accuracy by −4.2 points and imagined-movement accuracy by +2.8 points, within run-to-run noise. Not scaled up.</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v10</w:t>
            </w:r>
          </w:p>
        </w:tc>
        <w:tc>
          <w:tcPr>
            <w:tcW w:type="dxa" w:w="4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Audit of the fine-tune/evaluation split: overlapping windows of one trial appeared on both sides of the window-level split. Replaced by a split by whole trial (60% / 20% / 20%) with larger evaluation sets (about 18 trials per subject and mode); TCFormer only.</w:t>
            </w:r>
          </w:p>
        </w:tc>
        <w:tc>
          <w:tcPr>
            <w:tcW w:type="dxa" w:w="51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Group means (10 subjects): Task A ME 65.6% / MI 60.0%; Task B ME 70.0% / MI 59.4%. An earlier independent run of the same code gave Task A 58.9% / 57.2% and Task B ME 76.1%.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v11</w:t>
            </w:r>
          </w:p>
        </w:tc>
        <w:tc>
          <w:tcPr>
            <w:tcW w:type="dxa" w:w="4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Cross-subject pretraining (notebook v5): TCFormer and EEGNet each pretrained once on 30 other subjects (S011–S040), then trained per subject with three seeds averaged; EEGNet re-run under the trial-level split; automatic leakage checks; Tasks A and B. Baseline arm (notebook v6): TCFormer without pretraining, same trials and seeds.</w:t>
            </w:r>
          </w:p>
        </w:tc>
        <w:tc>
          <w:tcPr>
            <w:tcW w:type="dxa" w:w="51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Group means (10 subjects), Task A: TCFormer ME 74.4% / MI 70.0%; EEGNet 75.0% / 61.7%. Task B: TCFormer ME 86.7% / MI 71.1%; EEGNet 78.9% / 65.0%. Same-protocol baseline without pretraining: A ME 66.1% / MI 61.7%; B ME 78.9% / MI 71.1%. Gain +8.3 / +8.3 (not significant) on A; +7.8 (p = 0.003) / 0.0 on B.</w:t>
            </w:r>
          </w:p>
        </w:tc>
      </w:tr>
    </w:tbl>
    <w:p>
      <w:pPr>
        <w:spacing w:after="60"/>
      </w:pPr>
      <w:r>
        <w:rPr>
          <w:rFonts w:ascii="Times New Roman" w:cs="Times New Roman" w:eastAsia="Times New Roman" w:hAnsi="Times New Roman"/>
          <w:i/>
          <w:iCs/>
          <w:sz w:val="16"/>
          <w:szCs w:val="16"/>
        </w:rPr>
        <w:t xml:space="preserve">Note: EEGNet figures (v1–v7) come from separate runs under earlier splits; EEGNet was re-run under the final trial-level split with cross-subject pretraining for both tasks (v11, Tables VI and VII). The like-for-like window-level comparison is in Table V.</w:t>
      </w:r>
    </w:p>
    <w:p>
      <w:pPr>
        <w:sectPr>
          <w:footerReference w:type="default" r:id="rId9"/>
          <w:type w:val="continuous"/>
          <w:pgSz w:w="12240" w:h="15840" w:orient="portrait"/>
          <w:pgMar w:top="1080" w:right="900" w:bottom="1200" w:left="900" w:header="500" w:footer="500" w:gutter="0"/>
          <w:pgNumType/>
          <w:docGrid w:linePitch="360"/>
        </w:sectPr>
      </w:pPr>
    </w:p>
    <w:p>
      <w:pPr>
        <w:spacing w:after="80" w:line="240"/>
        <w:ind w:firstLine="200"/>
        <w:jc w:val="both"/>
      </w:pPr>
      <w:r>
        <w:rPr>
          <w:rFonts w:ascii="Times New Roman" w:cs="Times New Roman" w:eastAsia="Times New Roman" w:hAnsi="Times New Roman"/>
          <w:sz w:val="20"/>
          <w:szCs w:val="20"/>
        </w:rPr>
        <w:t xml:space="preserve">Five lessons came out of this history. First, the v2 result of about 57% on both tasks looked too similar across tasks to be believable, and checking it led us to the subject-order leak. After the fix, Task B (both fists or feet) again scored higher than Task A, as we would expect from the physiology. Second, separating ME and MI completely (v4) cost more through lack of data than it gained from specialization, so we moved to the hybrid protocol. Third, the hybrid protocol exposed a second bug. The data were loaded as one block of ME followed by one block of MI, so a single chronological split left one mode with no training data. We now split within each mode. Fourth, averaging in a specialist for the other mode (v6) made results worse, so the ME and MI models stay separate. Fifth, an audit showed that overlapping windows of the same trial ended up on both sides of the fine-tune/evaluation split. Splitting by whole trial lowered the executed-movement group means from 75.2% and 80.7% to 65.6% and 70.0% (Section 7). Leakage like this is common in deep-learning EEG studies [28], so it should be checked for before any accuracy is reported.</w:t>
      </w:r>
    </w:p>
    <w:p>
      <w:pPr>
        <w:pStyle w:val="Heading1"/>
        <w:keepNext/>
        <w:spacing w:after="80" w:before="200"/>
        <w:jc w:val="center"/>
      </w:pPr>
      <w:r>
        <w:rPr>
          <w:rFonts w:ascii="Times New Roman" w:cs="Times New Roman" w:eastAsia="Times New Roman" w:hAnsi="Times New Roman"/>
          <w:smallCaps/>
          <w:sz w:val="20"/>
          <w:szCs w:val="20"/>
        </w:rPr>
        <w:t xml:space="preserve">7. Results Summary</w:t>
      </w:r>
    </w:p>
    <w:p>
      <w:pPr>
        <w:spacing w:after="80" w:line="240"/>
        <w:ind w:firstLine="200"/>
        <w:jc w:val="both"/>
      </w:pPr>
      <w:r>
        <w:rPr>
          <w:rFonts w:ascii="Times New Roman" w:cs="Times New Roman" w:eastAsia="Times New Roman" w:hAnsi="Times New Roman"/>
          <w:sz w:val="20"/>
          <w:szCs w:val="20"/>
        </w:rPr>
        <w:t xml:space="preserve">Table III gives the trial-level evaluation of TCFormer on ten subjects: the group-mean majority-vote accuracy and its spread across subjects, with about 18 held-out trials per subject and mode. Task A is left fist, right fist or rest, and Task B is both fists, both feet or rest. Fig. 3 plots the means against chance and the 85% target.</w:t>
      </w:r>
    </w:p>
    <w:p>
      <w:pPr>
        <w:keepNext/>
        <w:spacing w:after="40" w:before="100"/>
        <w:jc w:val="center"/>
      </w:pPr>
      <w:r>
        <w:rPr>
          <w:rFonts w:ascii="Times New Roman" w:cs="Times New Roman" w:eastAsia="Times New Roman" w:hAnsi="Times New Roman"/>
          <w:smallCaps/>
          <w:sz w:val="16"/>
          <w:szCs w:val="16"/>
        </w:rPr>
        <w:t xml:space="preserve">Table III</w:t>
      </w:r>
      <w:r>
        <w:br/>
        <w:t xml:space="preserve"/>
      </w:r>
      <w:r>
        <w:rPr>
          <w:rFonts w:ascii="Times New Roman" w:cs="Times New Roman" w:eastAsia="Times New Roman" w:hAnsi="Times New Roman"/>
          <w:smallCaps/>
          <w:sz w:val="16"/>
          <w:szCs w:val="16"/>
        </w:rPr>
        <w:t xml:space="preserve">TCFormer, trial-level split: majority-vote accuracy (%), ten subjects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80"/>
        <w:gridCol w:w="700"/>
        <w:gridCol w:w="700"/>
        <w:gridCol w:w="700"/>
        <w:gridCol w:w="700"/>
        <w:gridCol w:w="1060"/>
      </w:tblGrid>
      <w:tr>
        <w:trPr>
          <w:cantSplit/>
          <w:tblHeader/>
        </w:trPr>
        <w:tc>
          <w:tcPr>
            <w:tcW w:type="dxa" w:w="118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Task / mode</w:t>
            </w:r>
          </w:p>
        </w:tc>
        <w:tc>
          <w:tcPr>
            <w:tcW w:type="dxa" w:w="7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Mean</w:t>
            </w:r>
          </w:p>
        </w:tc>
        <w:tc>
          <w:tcPr>
            <w:tcW w:type="dxa" w:w="7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Std.</w:t>
            </w:r>
          </w:p>
        </w:tc>
        <w:tc>
          <w:tcPr>
            <w:tcW w:type="dxa" w:w="7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Min</w:t>
            </w:r>
          </w:p>
        </w:tc>
        <w:tc>
          <w:tcPr>
            <w:tcW w:type="dxa" w:w="7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Max</w:t>
            </w:r>
          </w:p>
        </w:tc>
        <w:tc>
          <w:tcPr>
            <w:tcW w:type="dxa" w:w="106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Subjects ≥ 85%</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A – ME</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65.6</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15.9</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44.4</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88.9</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A – MI</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60.0</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14.0</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38.9</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88.9</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B – ME</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70.0</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25.6</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22.2</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100.0</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2</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B – MI</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59.4</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18.9</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27.8</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94.4</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w:t>
            </w:r>
          </w:p>
        </w:tc>
      </w:tr>
    </w:tbl>
    <w:p>
      <w:pPr>
        <w:spacing w:after="60"/>
      </w:pPr>
    </w:p>
    <w:p>
      <w:pPr>
        <w:keepNext/>
        <w:spacing w:after="20" w:before="80"/>
        <w:jc w:val="center"/>
      </w:pPr>
      <w:r>
        <w:drawing>
          <wp:inline distT="0" distB="0" distL="0" distR="0">
            <wp:extent cx="3019425" cy="2533650"/>
            <wp:effectExtent t="0" r="0" b="0" l="0"/>
            <wp:docPr id="1" name="assets/fig_results.png" descr="assets/fig_results.png" title="assets/fig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019425" cy="2533650"/>
                    </a:xfrm>
                    <a:prstGeom prst="rect">
                      <a:avLst/>
                    </a:prstGeom>
                  </pic:spPr>
                </pic:pic>
              </a:graphicData>
            </a:graphic>
          </wp:inline>
        </w:drawing>
      </w:r>
    </w:p>
    <w:p>
      <w:pPr>
        <w:spacing w:after="120" w:before="40"/>
        <w:jc w:val="center"/>
      </w:pPr>
      <w:r>
        <w:rPr>
          <w:rFonts w:ascii="Times New Roman" w:cs="Times New Roman" w:eastAsia="Times New Roman" w:hAnsi="Times New Roman"/>
          <w:sz w:val="16"/>
          <w:szCs w:val="16"/>
        </w:rPr>
        <w:t xml:space="preserve">Fig. 3. Group-mean majority-vote accuracy (± std. across subjects) under the trial-level split: TCFormer without pretraining (light bars, three-seed average, Table VIII) and with cross-subject pretraining (dark bars, Tables VI and VII), with the earlier window-level-split means (diamonds), chance (33.3%), and the 85% target.</w:t>
      </w:r>
    </w:p>
    <w:p>
      <w:pPr>
        <w:spacing w:after="80" w:line="240"/>
        <w:ind w:firstLine="200"/>
        <w:jc w:val="both"/>
      </w:pPr>
      <w:r>
        <w:rPr>
          <w:rFonts w:ascii="Times New Roman" w:cs="Times New Roman" w:eastAsia="Times New Roman" w:hAnsi="Times New Roman"/>
          <w:sz w:val="20"/>
          <w:szCs w:val="20"/>
        </w:rPr>
        <w:t xml:space="preserve">All four single-run group means (Table III) are well above the 33.3% chance level and below the 85% target. Differences between subjects matter most. Task B executed-movement accuracy ranges from 22.2% to 100%, and in each condition only one or two subjects reach 85%. Two subjects (S006 and S009) score below chance on Task B executed movement. With only 18 trials this is within sampling noise for a subject whose signal the model cannot use. Imagined movement is lower than executed movement in both tasks (by 5.6 and 10.6 points).</w:t>
      </w:r>
    </w:p>
    <w:p>
      <w:pPr>
        <w:keepNext/>
        <w:spacing w:after="40" w:before="100"/>
        <w:jc w:val="center"/>
      </w:pPr>
      <w:r>
        <w:rPr>
          <w:rFonts w:ascii="Times New Roman" w:cs="Times New Roman" w:eastAsia="Times New Roman" w:hAnsi="Times New Roman"/>
          <w:smallCaps/>
          <w:sz w:val="16"/>
          <w:szCs w:val="16"/>
        </w:rPr>
        <w:t xml:space="preserve">Table IV</w:t>
      </w:r>
      <w:r>
        <w:br/>
        <w:t xml:space="preserve"/>
      </w:r>
      <w:r>
        <w:rPr>
          <w:rFonts w:ascii="Times New Roman" w:cs="Times New Roman" w:eastAsia="Times New Roman" w:hAnsi="Times New Roman"/>
          <w:smallCaps/>
          <w:sz w:val="16"/>
          <w:szCs w:val="16"/>
        </w:rPr>
        <w:t xml:space="preserve">Effect of splitting by trial: group-mean accuracy (%)</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80"/>
        <w:gridCol w:w="1300"/>
        <w:gridCol w:w="1300"/>
        <w:gridCol w:w="1260"/>
      </w:tblGrid>
      <w:tr>
        <w:trPr>
          <w:cantSplit/>
          <w:tblHeader/>
        </w:trPr>
        <w:tc>
          <w:tcPr>
            <w:tcW w:type="dxa" w:w="118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Task / mode</w:t>
            </w:r>
          </w:p>
        </w:tc>
        <w:tc>
          <w:tcPr>
            <w:tcW w:type="dxa" w:w="13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Window-level split</w:t>
            </w:r>
          </w:p>
        </w:tc>
        <w:tc>
          <w:tcPr>
            <w:tcW w:type="dxa" w:w="13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Trial-level split</w:t>
            </w:r>
          </w:p>
        </w:tc>
        <w:tc>
          <w:tcPr>
            <w:tcW w:type="dxa" w:w="126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Change</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A – ME</w:t>
            </w:r>
          </w:p>
        </w:tc>
        <w:tc>
          <w:tcPr>
            <w:tcW w:type="dxa" w:w="1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75.2</w:t>
            </w:r>
          </w:p>
        </w:tc>
        <w:tc>
          <w:tcPr>
            <w:tcW w:type="dxa" w:w="1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65.6</w:t>
            </w:r>
          </w:p>
        </w:tc>
        <w:tc>
          <w:tcPr>
            <w:tcW w:type="dxa" w:w="12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−9.6</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A – MI</w:t>
            </w:r>
          </w:p>
        </w:tc>
        <w:tc>
          <w:tcPr>
            <w:tcW w:type="dxa" w:w="1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65.2</w:t>
            </w:r>
          </w:p>
        </w:tc>
        <w:tc>
          <w:tcPr>
            <w:tcW w:type="dxa" w:w="1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60.0</w:t>
            </w:r>
          </w:p>
        </w:tc>
        <w:tc>
          <w:tcPr>
            <w:tcW w:type="dxa" w:w="12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−5.2</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B – ME</w:t>
            </w:r>
          </w:p>
        </w:tc>
        <w:tc>
          <w:tcPr>
            <w:tcW w:type="dxa" w:w="1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80.7</w:t>
            </w:r>
          </w:p>
        </w:tc>
        <w:tc>
          <w:tcPr>
            <w:tcW w:type="dxa" w:w="1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70.0</w:t>
            </w:r>
          </w:p>
        </w:tc>
        <w:tc>
          <w:tcPr>
            <w:tcW w:type="dxa" w:w="12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−10.7</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B – MI</w:t>
            </w:r>
          </w:p>
        </w:tc>
        <w:tc>
          <w:tcPr>
            <w:tcW w:type="dxa" w:w="1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75.6</w:t>
            </w:r>
          </w:p>
        </w:tc>
        <w:tc>
          <w:tcPr>
            <w:tcW w:type="dxa" w:w="13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59.4</w:t>
            </w:r>
          </w:p>
        </w:tc>
        <w:tc>
          <w:tcPr>
            <w:tcW w:type="dxa" w:w="12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−16.2</w:t>
            </w:r>
          </w:p>
        </w:tc>
      </w:tr>
    </w:tbl>
    <w:p>
      <w:pPr>
        <w:spacing w:after="80" w:line="240"/>
        <w:jc w:val="both"/>
      </w:pPr>
      <w:r>
        <w:rPr>
          <w:rFonts w:ascii="Times New Roman" w:cs="Times New Roman" w:eastAsia="Times New Roman" w:hAnsi="Times New Roman"/>
          <w:sz w:val="20"/>
          <w:szCs w:val="20"/>
        </w:rPr>
        <w:t xml:space="preserve">Table IV compares the earlier window-level split with the final trial-level split. The drop of 5–16 points is what we would expect from removing near-duplicate windows from the evaluation data. It does not measure leakage cleanly, because the two protocols also differ in split proportions (70/15/15 versus 60/20/20) and in evaluation-set size, and each figure comes from a single run.</w:t>
      </w:r>
    </w:p>
    <w:p>
      <w:pPr>
        <w:spacing w:after="80" w:line="240"/>
        <w:ind w:firstLine="200"/>
        <w:jc w:val="both"/>
      </w:pPr>
      <w:r>
        <w:rPr>
          <w:rFonts w:ascii="Times New Roman" w:cs="Times New Roman" w:eastAsia="Times New Roman" w:hAnsi="Times New Roman"/>
          <w:i/>
          <w:iCs/>
          <w:sz w:val="20"/>
          <w:szCs w:val="20"/>
        </w:rPr>
        <w:t xml:space="preserve">EEGNet versus TCFormer.</w:t>
      </w:r>
      <w:r>
        <w:rPr>
          <w:rFonts w:ascii="Times New Roman" w:cs="Times New Roman" w:eastAsia="Times New Roman" w:hAnsi="Times New Roman"/>
          <w:sz w:val="20"/>
          <w:szCs w:val="20"/>
        </w:rPr>
        <w:t xml:space="preserve"> The comparison rests on two earlier head-to-head runs with the window-level split (Table V; Section 6, v7–v8) and one run per task under the trial-level split with cross-subject pretraining (Tables VI and VII). TCFormer scored higher in all eight comparisons, by 3.7 to 17.4 points (mean 12.1), although EEGNet itself varied by up to 8.1 points between the two runs. Both runs used the window-level split, so this shows which architecture ranks higher under that protocol. It does not estimate the gap under the trial-level split. In the trial-level runs with cross-subject pretraining the gap is smaller and depends on task and mode. For Task A it is 8.3 points on imagined movement and none on executed movement. For Task B it is 7.8 points on executed movement (significant) and 6.1 on imagined movement (not significant) (Tables VI and VII).</w:t>
      </w:r>
    </w:p>
    <w:p>
      <w:pPr>
        <w:keepNext/>
        <w:spacing w:after="40" w:before="100"/>
        <w:jc w:val="center"/>
      </w:pPr>
      <w:r>
        <w:rPr>
          <w:rFonts w:ascii="Times New Roman" w:cs="Times New Roman" w:eastAsia="Times New Roman" w:hAnsi="Times New Roman"/>
          <w:smallCaps/>
          <w:sz w:val="16"/>
          <w:szCs w:val="16"/>
        </w:rPr>
        <w:t xml:space="preserve">Table V</w:t>
      </w:r>
      <w:r>
        <w:br/>
        <w:t xml:space="preserve"/>
      </w:r>
      <w:r>
        <w:rPr>
          <w:rFonts w:ascii="Times New Roman" w:cs="Times New Roman" w:eastAsia="Times New Roman" w:hAnsi="Times New Roman"/>
          <w:smallCaps/>
          <w:sz w:val="16"/>
          <w:szCs w:val="16"/>
        </w:rPr>
        <w:t xml:space="preserve">EEGNet versus TCFormer, window-level split: group-mean majority-vote accuracy (%), two independent runs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40"/>
        <w:gridCol w:w="950"/>
        <w:gridCol w:w="950"/>
        <w:gridCol w:w="950"/>
        <w:gridCol w:w="950"/>
      </w:tblGrid>
      <w:tr>
        <w:trPr>
          <w:cantSplit/>
          <w:tblHeader/>
        </w:trPr>
        <w:tc>
          <w:tcPr>
            <w:tcW w:type="dxa" w:w="124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Task / mode</w:t>
            </w:r>
          </w:p>
        </w:tc>
        <w:tc>
          <w:tcPr>
            <w:tcW w:type="dxa" w:w="95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EEGNet run 1</w:t>
            </w:r>
          </w:p>
        </w:tc>
        <w:tc>
          <w:tcPr>
            <w:tcW w:type="dxa" w:w="95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TCFormer run 1</w:t>
            </w:r>
          </w:p>
        </w:tc>
        <w:tc>
          <w:tcPr>
            <w:tcW w:type="dxa" w:w="95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EEGNet run 2</w:t>
            </w:r>
          </w:p>
        </w:tc>
        <w:tc>
          <w:tcPr>
            <w:tcW w:type="dxa" w:w="95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TCFormer run 2</w:t>
            </w:r>
          </w:p>
        </w:tc>
      </w:tr>
      <w:tr>
        <w:trPr>
          <w:cantSplit/>
          <w:tblHeader w:val="false"/>
        </w:trPr>
        <w:tc>
          <w:tcPr>
            <w:tcW w:type="dxa" w:w="12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A – ME</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68.5</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72.2</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60.4</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76.7</w:t>
            </w:r>
          </w:p>
        </w:tc>
      </w:tr>
      <w:tr>
        <w:trPr>
          <w:cantSplit/>
          <w:tblHeader w:val="false"/>
        </w:trPr>
        <w:tc>
          <w:tcPr>
            <w:tcW w:type="dxa" w:w="12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A – MI</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58.9</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68.5</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57.0</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69.3</w:t>
            </w:r>
          </w:p>
        </w:tc>
      </w:tr>
      <w:tr>
        <w:trPr>
          <w:cantSplit/>
          <w:tblHeader w:val="false"/>
        </w:trPr>
        <w:tc>
          <w:tcPr>
            <w:tcW w:type="dxa" w:w="12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B – ME</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68.5</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80.7</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70.7</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81.5</w:t>
            </w:r>
          </w:p>
        </w:tc>
      </w:tr>
      <w:tr>
        <w:trPr>
          <w:cantSplit/>
          <w:tblHeader w:val="false"/>
        </w:trPr>
        <w:tc>
          <w:tcPr>
            <w:tcW w:type="dxa" w:w="12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B – MI</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57.8</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75.2</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61.1</w:t>
            </w:r>
          </w:p>
        </w:tc>
        <w:tc>
          <w:tcPr>
            <w:tcW w:type="dxa" w:w="95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75.9</w:t>
            </w:r>
          </w:p>
        </w:tc>
      </w:tr>
    </w:tbl>
    <w:p>
      <w:pPr>
        <w:spacing w:after="60"/>
      </w:pPr>
    </w:p>
    <w:p>
      <w:pPr>
        <w:spacing w:after="80" w:line="240"/>
        <w:ind w:firstLine="200"/>
        <w:jc w:val="both"/>
      </w:pPr>
      <w:r>
        <w:rPr>
          <w:rFonts w:ascii="Times New Roman" w:cs="Times New Roman" w:eastAsia="Times New Roman" w:hAnsi="Times New Roman"/>
          <w:i/>
          <w:iCs/>
          <w:sz w:val="20"/>
          <w:szCs w:val="20"/>
        </w:rPr>
        <w:t xml:space="preserve">Run-to-run variation.</w:t>
      </w:r>
      <w:r>
        <w:rPr>
          <w:rFonts w:ascii="Times New Roman" w:cs="Times New Roman" w:eastAsia="Times New Roman" w:hAnsi="Times New Roman"/>
          <w:sz w:val="20"/>
          <w:szCs w:val="20"/>
        </w:rPr>
        <w:t xml:space="preserve"> We did not seed the model initialization or batch order, while the data split is fixed. Two independent runs of the same trial-level code gave Task A means of 58.9% (ME) and 57.2% (MI) in the first run and 65.6% and 60.0% in the second, and a Task B executed-movement mean of 76.1% against 70.0%. The group means differ by up to 6.7 points. For Task A executed movement the per-subject difference between the two runs has a standard deviation of 12.4 points (maximum 22.2), although the runs are correlated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=0.71). Differences of a few points between conditions are therefore not interpretable from single runs.</w:t>
      </w:r>
    </w:p>
    <w:p>
      <w:pPr>
        <w:spacing w:after="80" w:line="240"/>
        <w:ind w:firstLine="200"/>
        <w:jc w:val="both"/>
      </w:pPr>
      <w:r>
        <w:rPr>
          <w:rFonts w:ascii="Times New Roman" w:cs="Times New Roman" w:eastAsia="Times New Roman" w:hAnsi="Times New Roman"/>
          <w:i/>
          <w:iCs/>
          <w:sz w:val="20"/>
          <w:szCs w:val="20"/>
        </w:rPr>
        <w:t xml:space="preserve">Pilot: seed averaging and cross-subject pretraining.</w:t>
      </w:r>
      <w:r>
        <w:rPr>
          <w:rFonts w:ascii="Times New Roman" w:cs="Times New Roman" w:eastAsia="Times New Roman" w:hAnsi="Times New Roman"/>
          <w:sz w:val="20"/>
          <w:szCs w:val="20"/>
        </w:rPr>
        <w:t xml:space="preserve"> We ran a pilot on Task A with subjects S001–S004, two seeds and the same held-out trials. It compared the trial-level recipe with a variant that first pretrains TCFormer on 20 other subjects (never an evaluated subject) before the per-subject stages. With the softmax outputs of the two seeds averaged, executed- and imagined-movement accuracy was 69.4% and 68.1% for the baseline and 75.0% and 75.0% with cross-subject pretraining, a paired gain of +5.6 and +6.9 points. Three of the four subjects improved in each mode, and the seed-to-seed variability was mixed. With four subjects and about 18 trials each, the paired standard errors are roughly 6 and 5 points, so the result is suggestive, not conclusive. The ten-subject Task A run below extends it.</w:t>
      </w:r>
    </w:p>
    <w:p>
      <w:pPr>
        <w:spacing w:after="80" w:line="240"/>
        <w:ind w:firstLine="200"/>
        <w:jc w:val="both"/>
      </w:pPr>
      <w:r>
        <w:rPr>
          <w:rFonts w:ascii="Times New Roman" w:cs="Times New Roman" w:eastAsia="Times New Roman" w:hAnsi="Times New Roman"/>
          <w:i/>
          <w:iCs/>
          <w:sz w:val="20"/>
          <w:szCs w:val="20"/>
        </w:rPr>
        <w:t xml:space="preserve">Cross-subject pretraining on ten subjects (Task A).</w:t>
      </w:r>
      <w:r>
        <w:rPr>
          <w:rFonts w:ascii="Times New Roman" w:cs="Times New Roman" w:eastAsia="Times New Roman" w:hAnsi="Times New Roman"/>
          <w:sz w:val="20"/>
          <w:szCs w:val="20"/>
        </w:rPr>
        <w:t xml:space="preserve"> We extended the pilot to all ten subjects of Task A (Table VI). TCFormer and EEGNet were each pretrained once on 30 other subjects (S011–S040, every second window, never an evaluated subject). Each was then trained per subject with three seeds, whose softmax outputs were averaged, on the same trial-level split (18 held-out trials per subject). TCFormer reached 74.4% (ME) and 70.0% (MI), EEGNet 75.0% and 61.7%, and the equal-weight average of the two 75.6% and 69.4%. Against the single-run baseline of Table III this is +8.8 and +10.0 points for TCFormer. But two single runs of the same code already differ by up to 6.7 points, so we measure the effect of pretraining against a same-protocol baseline in Table VIII (+8.3 points in both modes, not significant). Seed averaging does not explain the gain: it moved group means by only 0.8–1.7 points (mean single-seed accuracy: TCFormer 75.2% and 69.1%, EEGNet 73.3% and 63.3%). On the pilot’s four subjects this run gave 68.1% (ME) and 81.9% (MI), against 75.0% and 75.0% in the pilot (30 versus 20 pretraining subjects, three versus two seeds). That is another reminder of the run-to-run spread. TCFormer beat EEGNet by 8.3 points on MI (paired t-test p = 0.048, Wilcoxon p = 0.078; better for 6, equal for 3 and worse for 1 of 10 subjects) and matched it on ME (−0.6 points, p = 0.88). The ensemble did not improve on TCFormer alone (+1.1 and −0.6 points). Three subjects (S005, S006, S009) are not above chance on MI by an exact binomial test (at least 10 of 18 trials are needed), while all ten are above chance on ME. Per-subject ME and MI accuracies are uncorrelated in this task (r = 0.02, n = 10, so only a rough indication). Task B follows in Table VII.</w:t>
      </w:r>
    </w:p>
    <w:p>
      <w:pPr>
        <w:keepNext/>
        <w:spacing w:after="40" w:before="100"/>
        <w:jc w:val="center"/>
      </w:pPr>
      <w:r>
        <w:rPr>
          <w:rFonts w:ascii="Times New Roman" w:cs="Times New Roman" w:eastAsia="Times New Roman" w:hAnsi="Times New Roman"/>
          <w:smallCaps/>
          <w:sz w:val="16"/>
          <w:szCs w:val="16"/>
        </w:rPr>
        <w:t xml:space="preserve">Table VI</w:t>
      </w:r>
      <w:r>
        <w:br/>
        <w:t xml:space="preserve"/>
      </w:r>
      <w:r>
        <w:rPr>
          <w:rFonts w:ascii="Times New Roman" w:cs="Times New Roman" w:eastAsia="Times New Roman" w:hAnsi="Times New Roman"/>
          <w:smallCaps/>
          <w:sz w:val="16"/>
          <w:szCs w:val="16"/>
        </w:rPr>
        <w:t xml:space="preserve">Task A, cross-subject pretraining, three-seed averaging: majority-vote accuracy (%), ten subjects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80"/>
        <w:gridCol w:w="700"/>
        <w:gridCol w:w="700"/>
        <w:gridCol w:w="700"/>
        <w:gridCol w:w="700"/>
        <w:gridCol w:w="1060"/>
      </w:tblGrid>
      <w:tr>
        <w:trPr>
          <w:cantSplit/>
          <w:tblHeader/>
        </w:trPr>
        <w:tc>
          <w:tcPr>
            <w:tcW w:type="dxa" w:w="118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Model / mode</w:t>
            </w:r>
          </w:p>
        </w:tc>
        <w:tc>
          <w:tcPr>
            <w:tcW w:type="dxa" w:w="7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Mean</w:t>
            </w:r>
          </w:p>
        </w:tc>
        <w:tc>
          <w:tcPr>
            <w:tcW w:type="dxa" w:w="7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Std.</w:t>
            </w:r>
          </w:p>
        </w:tc>
        <w:tc>
          <w:tcPr>
            <w:tcW w:type="dxa" w:w="7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Min</w:t>
            </w:r>
          </w:p>
        </w:tc>
        <w:tc>
          <w:tcPr>
            <w:tcW w:type="dxa" w:w="7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Max</w:t>
            </w:r>
          </w:p>
        </w:tc>
        <w:tc>
          <w:tcPr>
            <w:tcW w:type="dxa" w:w="106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Subjects ≥ 85%</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TCFormer ME</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74.4</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12.2</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55.6</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94.4</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2</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TCFormer MI</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70.0</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17.1</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38.9</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88.9</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2</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EEGNet ME</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75.0</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13.9</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50.0</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94.4</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3</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EEGNet MI</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61.7</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19.6</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27.8</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94.4</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Ensemble ME</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75.6</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13.0</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50.0</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94.4</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3</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Ensemble MI</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69.4</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16.7</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44.4</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88.9</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w:t>
            </w:r>
          </w:p>
        </w:tc>
      </w:tr>
    </w:tbl>
    <w:p>
      <w:pPr>
        <w:spacing w:after="80" w:line="240"/>
        <w:ind w:firstLine="200"/>
        <w:jc w:val="both"/>
      </w:pPr>
      <w:r>
        <w:rPr>
          <w:rFonts w:ascii="Times New Roman" w:cs="Times New Roman" w:eastAsia="Times New Roman" w:hAnsi="Times New Roman"/>
          <w:i/>
          <w:iCs/>
          <w:sz w:val="20"/>
          <w:szCs w:val="20"/>
        </w:rPr>
        <w:t xml:space="preserve">Cross-subject pretraining on ten subjects (Task B).</w:t>
      </w:r>
      <w:r>
        <w:rPr>
          <w:rFonts w:ascii="Times New Roman" w:cs="Times New Roman" w:eastAsia="Times New Roman" w:hAnsi="Times New Roman"/>
          <w:sz w:val="20"/>
          <w:szCs w:val="20"/>
        </w:rPr>
        <w:t xml:space="preserve"> We ran the same recipe on Task B (Table VII). TCFormer reached 86.7% (ME) and 71.1% (MI), EEGNet 78.9% and 65.0%, and the equal-weight average of the two 88.9% and 70.0%. Against the single-run baselines of Table III (70.0% and 59.4%) this looks like +16.7 and +11.7 points for TCFormer. The same-protocol baseline of Table VIII (78.9% and 71.1%) shows that most of that apparent gain was run-to-run variation: the real gain is +7.8 points on ME and none on MI. The 95% confidence interval of the TCFormer executed-movement mean is ±9.4 points across the ten subjects, so a true mean below the 85% target is not ruled out. All ten subjects are above chance on ME and eight of ten on MI. Seed averaging again changed group means by at most 0.6 points (mean single-seed accuracy: TCFormer 86.5% and 70.9%, EEGNet 78.3% and 65.0%). TCFormer beat EEGNet by 7.8 points on ME (paired t-test p = 0.010, Wilcoxon p = 0.016; better for 7 and equal for 3 of 10 subjects) and by 6.1 points on MI (p = 0.21, not significant). The ensemble was not reliably better than TCFormer alone (+2.2 points on ME, p = 0.27; −1.1 on MI). Per-subject ME and MI accuracies are moderately correlated in this task (r = 0.55, n = 10). Subjects S006 and S009 were at or below chance on MI in both tasks, but S009 reached 94.4% and 88.9% on ME. That points to a weakness specific to imagery, not to a generally poor responder.</w:t>
      </w:r>
    </w:p>
    <w:p>
      <w:pPr>
        <w:keepNext/>
        <w:spacing w:after="40" w:before="100"/>
        <w:jc w:val="center"/>
      </w:pPr>
      <w:r>
        <w:rPr>
          <w:rFonts w:ascii="Times New Roman" w:cs="Times New Roman" w:eastAsia="Times New Roman" w:hAnsi="Times New Roman"/>
          <w:smallCaps/>
          <w:sz w:val="16"/>
          <w:szCs w:val="16"/>
        </w:rPr>
        <w:t xml:space="preserve">Table VII</w:t>
      </w:r>
      <w:r>
        <w:br/>
        <w:t xml:space="preserve"/>
      </w:r>
      <w:r>
        <w:rPr>
          <w:rFonts w:ascii="Times New Roman" w:cs="Times New Roman" w:eastAsia="Times New Roman" w:hAnsi="Times New Roman"/>
          <w:smallCaps/>
          <w:sz w:val="16"/>
          <w:szCs w:val="16"/>
        </w:rPr>
        <w:t xml:space="preserve">Task B, cross-subject pretraining, three-seed averaging: majority-vote accuracy (%), ten subjects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80"/>
        <w:gridCol w:w="700"/>
        <w:gridCol w:w="700"/>
        <w:gridCol w:w="700"/>
        <w:gridCol w:w="700"/>
        <w:gridCol w:w="1060"/>
      </w:tblGrid>
      <w:tr>
        <w:trPr>
          <w:cantSplit/>
          <w:tblHeader/>
        </w:trPr>
        <w:tc>
          <w:tcPr>
            <w:tcW w:type="dxa" w:w="118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Model / mode</w:t>
            </w:r>
          </w:p>
        </w:tc>
        <w:tc>
          <w:tcPr>
            <w:tcW w:type="dxa" w:w="7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Mean</w:t>
            </w:r>
          </w:p>
        </w:tc>
        <w:tc>
          <w:tcPr>
            <w:tcW w:type="dxa" w:w="7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Std.</w:t>
            </w:r>
          </w:p>
        </w:tc>
        <w:tc>
          <w:tcPr>
            <w:tcW w:type="dxa" w:w="7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Min</w:t>
            </w:r>
          </w:p>
        </w:tc>
        <w:tc>
          <w:tcPr>
            <w:tcW w:type="dxa" w:w="7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Max</w:t>
            </w:r>
          </w:p>
        </w:tc>
        <w:tc>
          <w:tcPr>
            <w:tcW w:type="dxa" w:w="106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Subjects ≥ 85%</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TCFormer ME</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86.7</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12.5</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61.1</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100.0</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TCFormer MI</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71.1</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21.2</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33.3</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94.4</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4</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EEGNet ME</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78.9</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12.9</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61.1</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100.0</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3</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EEGNet MI</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65.0</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18.8</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27.8</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94.4</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Ensemble ME</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88.9</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12.9</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55.6</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100.0</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8</w:t>
            </w:r>
          </w:p>
        </w:tc>
      </w:tr>
      <w:tr>
        <w:trPr>
          <w:cantSplit/>
          <w:tblHeader w:val="false"/>
        </w:trPr>
        <w:tc>
          <w:tcPr>
            <w:tcW w:type="dxa" w:w="11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Ensemble MI</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70.0</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21.5</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38.9</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94.4</w:t>
            </w:r>
          </w:p>
        </w:tc>
        <w:tc>
          <w:tcPr>
            <w:tcW w:type="dxa" w:w="10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3</w:t>
            </w:r>
          </w:p>
        </w:tc>
      </w:tr>
    </w:tbl>
    <w:p>
      <w:pPr>
        <w:spacing w:after="80" w:line="240"/>
        <w:ind w:firstLine="200"/>
        <w:jc w:val="both"/>
      </w:pPr>
      <w:r>
        <w:rPr>
          <w:rFonts w:ascii="Times New Roman" w:cs="Times New Roman" w:eastAsia="Times New Roman" w:hAnsi="Times New Roman"/>
          <w:i/>
          <w:iCs/>
          <w:sz w:val="20"/>
          <w:szCs w:val="20"/>
        </w:rPr>
        <w:t xml:space="preserve">Same-protocol baseline (effect of cross-subject pretraining).</w:t>
      </w:r>
      <w:r>
        <w:rPr>
          <w:rFonts w:ascii="Times New Roman" w:cs="Times New Roman" w:eastAsia="Times New Roman" w:hAnsi="Times New Roman"/>
          <w:sz w:val="20"/>
          <w:szCs w:val="20"/>
        </w:rPr>
        <w:t xml:space="preserve"> To see what cross-subject pretraining adds, we retrained TCFormer without it (notebook v6) on the same ten subjects, with the same code, the same three seeds and the same 18 held-out trials per subject and mode (the split is deterministic). We then compared the seed-averaged results subject by subject with the pretrained runs of Tables VI and VII (Table VIII). The two arms ran in separate sessions, so GPU nondeterminism cannot be ruled out. On Task B executed movement, pretraining raised accuracy from 78.9% to 86.7% (+7.8 points). It helped 9 of 10 subjects, tied for 1 and hurt none (paired t-test p = 0.003, Wilcoxon p = 0.004), and the result survives a Bonferroni correction for the four comparisons (threshold 0.0125). On Task A the group mean rose by 8.3 points in both modes, but individual differences ranged from −16.7 to +44.4 points, and neither gain is significant with ten subjects (p = 0.12 and 0.11). On Task B imagined movement there was no gain (0.0 points, p = 1.0). The three-seed baseline sits 0.5 and 1.7 points above the single-run baselines of Table III on Task A, but 8.9 and 11.7 points above them on Task B. So about half of the +16.7 points on executed movement, and all of the +11.7 points on imagined movement, seen against Table III were run-to-run variation.</w:t>
      </w:r>
    </w:p>
    <w:p>
      <w:pPr>
        <w:spacing w:after="80" w:line="240"/>
        <w:ind w:firstLine="200"/>
        <w:jc w:val="both"/>
      </w:pPr>
      <w:r>
        <w:rPr>
          <w:rFonts w:ascii="Times New Roman" w:cs="Times New Roman" w:eastAsia="Times New Roman" w:hAnsi="Times New Roman"/>
          <w:sz w:val="20"/>
          <w:szCs w:val="20"/>
        </w:rPr>
        <w:t xml:space="preserve">Seed averaging raised the baseline by 4.1–5.2 points, but the pretrained models by at most 0.9 points (mean single-seed accuracy for Task A ME, A MI, B ME and B MI: baseline 61.9%, 56.5%, 74.4% and 67.0%; pretrained 75.2%, 69.1%, 86.5% and 70.9%). One pretrained seed is therefore about as good as the three-seed average, while single baseline runs are lower and less stable. Compared with single seeds, pretraining gains 12.0–13.3 points on the first three conditions (paired p = 0.009–0.033) and 3.9 points on Task B imagined movement (p = 0.26).</w:t>
      </w:r>
    </w:p>
    <w:p>
      <w:pPr>
        <w:keepNext/>
        <w:spacing w:after="40" w:before="100"/>
        <w:jc w:val="center"/>
      </w:pPr>
      <w:r>
        <w:rPr>
          <w:rFonts w:ascii="Times New Roman" w:cs="Times New Roman" w:eastAsia="Times New Roman" w:hAnsi="Times New Roman"/>
          <w:smallCaps/>
          <w:sz w:val="16"/>
          <w:szCs w:val="16"/>
        </w:rPr>
        <w:t xml:space="preserve">Table VIII</w:t>
      </w:r>
      <w:r>
        <w:br/>
        <w:t xml:space="preserve"/>
      </w:r>
      <w:r>
        <w:rPr>
          <w:rFonts w:ascii="Times New Roman" w:cs="Times New Roman" w:eastAsia="Times New Roman" w:hAnsi="Times New Roman"/>
          <w:smallCaps/>
          <w:sz w:val="16"/>
          <w:szCs w:val="16"/>
        </w:rPr>
        <w:t xml:space="preserve">Effect of cross-subject pretraining on TCFormer: three-seed majority-vote accuracy (%), mean ± std over ten subjects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000"/>
        <w:gridCol w:w="920"/>
        <w:gridCol w:w="920"/>
        <w:gridCol w:w="560"/>
        <w:gridCol w:w="740"/>
        <w:gridCol w:w="900"/>
      </w:tblGrid>
      <w:tr>
        <w:trPr>
          <w:cantSplit/>
          <w:tblHeader/>
        </w:trPr>
        <w:tc>
          <w:tcPr>
            <w:tcW w:type="dxa" w:w="10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Task / mode</w:t>
            </w:r>
          </w:p>
        </w:tc>
        <w:tc>
          <w:tcPr>
            <w:tcW w:type="dxa" w:w="92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No pretraining</w:t>
            </w:r>
          </w:p>
        </w:tc>
        <w:tc>
          <w:tcPr>
            <w:tcW w:type="dxa" w:w="92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Pretrained</w:t>
            </w:r>
          </w:p>
        </w:tc>
        <w:tc>
          <w:tcPr>
            <w:tcW w:type="dxa" w:w="56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Δ (pts)</w:t>
            </w:r>
          </w:p>
        </w:tc>
        <w:tc>
          <w:tcPr>
            <w:tcW w:type="dxa" w:w="74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Better / tie / worse</w:t>
            </w:r>
          </w:p>
        </w:tc>
        <w:tc>
          <w:tcPr>
            <w:tcW w:type="dxa" w:w="9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Paired t p</w:t>
            </w:r>
          </w:p>
        </w:tc>
      </w:tr>
      <w:tr>
        <w:trPr>
          <w:cantSplit/>
          <w:tblHeader w:val="false"/>
        </w:trPr>
        <w:tc>
          <w:tcPr>
            <w:tcW w:type="dxa" w:w="10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A – ME</w:t>
            </w:r>
          </w:p>
        </w:tc>
        <w:tc>
          <w:tcPr>
            <w:tcW w:type="dxa" w:w="9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66.1 ± 12.3</w:t>
            </w:r>
          </w:p>
        </w:tc>
        <w:tc>
          <w:tcPr>
            <w:tcW w:type="dxa" w:w="9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74.4 ± 12.2</w:t>
            </w:r>
          </w:p>
        </w:tc>
        <w:tc>
          <w:tcPr>
            <w:tcW w:type="dxa" w:w="5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+8.3</w:t>
            </w:r>
          </w:p>
        </w:tc>
        <w:tc>
          <w:tcPr>
            <w:tcW w:type="dxa" w:w="7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5 / 3 / 2</w:t>
            </w:r>
          </w:p>
        </w:tc>
        <w:tc>
          <w:tcPr>
            <w:tcW w:type="dxa" w:w="9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0.120</w:t>
            </w:r>
          </w:p>
        </w:tc>
      </w:tr>
      <w:tr>
        <w:trPr>
          <w:cantSplit/>
          <w:tblHeader w:val="false"/>
        </w:trPr>
        <w:tc>
          <w:tcPr>
            <w:tcW w:type="dxa" w:w="10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A – MI</w:t>
            </w:r>
          </w:p>
        </w:tc>
        <w:tc>
          <w:tcPr>
            <w:tcW w:type="dxa" w:w="9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61.7 ± 18.8</w:t>
            </w:r>
          </w:p>
        </w:tc>
        <w:tc>
          <w:tcPr>
            <w:tcW w:type="dxa" w:w="9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70.0 ± 17.1</w:t>
            </w:r>
          </w:p>
        </w:tc>
        <w:tc>
          <w:tcPr>
            <w:tcW w:type="dxa" w:w="5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+8.3</w:t>
            </w:r>
          </w:p>
        </w:tc>
        <w:tc>
          <w:tcPr>
            <w:tcW w:type="dxa" w:w="7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 / 1 / 2</w:t>
            </w:r>
          </w:p>
        </w:tc>
        <w:tc>
          <w:tcPr>
            <w:tcW w:type="dxa" w:w="9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0.105</w:t>
            </w:r>
          </w:p>
        </w:tc>
      </w:tr>
      <w:tr>
        <w:trPr>
          <w:cantSplit/>
          <w:tblHeader w:val="false"/>
        </w:trPr>
        <w:tc>
          <w:tcPr>
            <w:tcW w:type="dxa" w:w="10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B – ME</w:t>
            </w:r>
          </w:p>
        </w:tc>
        <w:tc>
          <w:tcPr>
            <w:tcW w:type="dxa" w:w="9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78.9 ± 13.6</w:t>
            </w:r>
          </w:p>
        </w:tc>
        <w:tc>
          <w:tcPr>
            <w:tcW w:type="dxa" w:w="9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86.7 ± 12.5</w:t>
            </w:r>
          </w:p>
        </w:tc>
        <w:tc>
          <w:tcPr>
            <w:tcW w:type="dxa" w:w="5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+7.8</w:t>
            </w:r>
          </w:p>
        </w:tc>
        <w:tc>
          <w:tcPr>
            <w:tcW w:type="dxa" w:w="7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9 / 1 / 0</w:t>
            </w:r>
          </w:p>
        </w:tc>
        <w:tc>
          <w:tcPr>
            <w:tcW w:type="dxa" w:w="9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0.003</w:t>
            </w:r>
          </w:p>
        </w:tc>
      </w:tr>
      <w:tr>
        <w:trPr>
          <w:cantSplit/>
          <w:tblHeader w:val="false"/>
        </w:trPr>
        <w:tc>
          <w:tcPr>
            <w:tcW w:type="dxa" w:w="10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Task B – MI</w:t>
            </w:r>
          </w:p>
        </w:tc>
        <w:tc>
          <w:tcPr>
            <w:tcW w:type="dxa" w:w="9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71.1 ± 14.2</w:t>
            </w:r>
          </w:p>
        </w:tc>
        <w:tc>
          <w:tcPr>
            <w:tcW w:type="dxa" w:w="9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71.1 ± 21.2</w:t>
            </w:r>
          </w:p>
        </w:tc>
        <w:tc>
          <w:tcPr>
            <w:tcW w:type="dxa" w:w="5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0.0</w:t>
            </w:r>
          </w:p>
        </w:tc>
        <w:tc>
          <w:tcPr>
            <w:tcW w:type="dxa" w:w="7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5 / 2 / 3</w:t>
            </w:r>
          </w:p>
        </w:tc>
        <w:tc>
          <w:tcPr>
            <w:tcW w:type="dxa" w:w="9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1.000</w:t>
            </w:r>
          </w:p>
        </w:tc>
      </w:tr>
    </w:tbl>
    <w:p>
      <w:pPr>
        <w:spacing w:after="80" w:line="240"/>
        <w:ind w:firstLine="200"/>
        <w:jc w:val="both"/>
      </w:pPr>
      <w:r>
        <w:rPr>
          <w:rFonts w:ascii="Times New Roman" w:cs="Times New Roman" w:eastAsia="Times New Roman" w:hAnsi="Times New Roman"/>
          <w:i/>
          <w:iCs/>
          <w:sz w:val="20"/>
          <w:szCs w:val="20"/>
        </w:rPr>
        <w:t xml:space="preserve">Best-case subjects.</w:t>
      </w:r>
      <w:r>
        <w:rPr>
          <w:rFonts w:ascii="Times New Roman" w:cs="Times New Roman" w:eastAsia="Times New Roman" w:hAnsi="Times New Roman"/>
          <w:sz w:val="20"/>
          <w:szCs w:val="20"/>
        </w:rPr>
        <w:t xml:space="preserve"> The software demo uses the flagship models of S007 for Task A and S002 for Task B, trained with seed 0 and without cross-subject pretraining. On their 18 held-out trials, S007 reaches 83.3% (15 of 18) on executed and 100% (18 of 18) on imagined movement, with per-window accuracy of 72.4% and 77.8%. S002 reaches 100% (18 of 18) on executed and 88.9% (16 of 18) on imagined movement, with per-window accuracy of 84.9% and 63.1%. The three Task A executed-movement errors were two rest trials and one left-fist trial, all labelled right fist. The two Task B imagined-movement errors were one both-feet trial labelled rest and one rest trial labelled both-fists. These are best-case results for single subjects, chosen on the evaluation data, so they are optimistic. They are also not directly comparable with the base paper’s group-level finger-decoding accuracies (two-finger 81.10% executed and 80.56% imagined; three-finger 60.11% and 60.61%) [1], because the task granularity, subject selection and evaluation protocol all differ.</w:t>
      </w:r>
    </w:p>
    <w:p>
      <w:pPr>
        <w:spacing w:after="80" w:line="240"/>
        <w:ind w:firstLine="200"/>
        <w:jc w:val="both"/>
      </w:pPr>
      <w:r>
        <w:rPr>
          <w:rFonts w:ascii="Times New Roman" w:cs="Times New Roman" w:eastAsia="Times New Roman" w:hAnsi="Times New Roman"/>
          <w:i/>
          <w:iCs/>
          <w:sz w:val="20"/>
          <w:szCs w:val="20"/>
        </w:rPr>
        <w:t xml:space="preserve">Finger-level pilot (subject S01).</w:t>
      </w:r>
      <w:r>
        <w:rPr>
          <w:rFonts w:ascii="Times New Roman" w:cs="Times New Roman" w:eastAsia="Times New Roman" w:hAnsi="Times New Roman"/>
          <w:sz w:val="20"/>
          <w:szCs w:val="20"/>
        </w:rPr>
        <w:t xml:space="preserve"> We ran the finger notebook on subject S01 of the base paper’s dataset [7] for two fingers (thumb versus pinky) and three fingers (thumb, index, pinky), with TCFormer and EEGNet and three seeds averaged. The split is chronological, by whole trial and by session. The model is pretrained on the subject’s own earlier sessions of both modes (no other subjects), fine-tuned on the first 30% of the trials of the last session, and evaluated on the remaining, later trials of that session (448 trials for two fingers, 336 for three; Table IX). For two fingers TCFormer reached 79.9% on executed movement (Wilson 95% interval [29], 76.0–83.4%) and 71.4% on imagined movement (67.1–75.4%), against 76.1% and 65.4% for EEGNet. The three TCFormer seeds agreed within 1.8 points on ME and 3.8 on MI, while the EEGNet seeds spread over 6.5 and 5.6 points. For three fingers TCFormer reached 44.6% (ME) and 43.2% (MI), and EEGNet 46.7% and 37.2%. All of these are above the 33.3% chance level except EEGNet on imagined movement (p = 0.075, exact binomial test). The equal-weight ensemble stayed within 2.1 points of the better single model and was ahead of it only for three-finger ME (+0.9).</w:t>
      </w:r>
    </w:p>
    <w:p>
      <w:pPr>
        <w:keepNext/>
        <w:spacing w:after="40" w:before="100"/>
        <w:jc w:val="center"/>
      </w:pPr>
      <w:r>
        <w:rPr>
          <w:rFonts w:ascii="Times New Roman" w:cs="Times New Roman" w:eastAsia="Times New Roman" w:hAnsi="Times New Roman"/>
          <w:smallCaps/>
          <w:sz w:val="16"/>
          <w:szCs w:val="16"/>
        </w:rPr>
        <w:t xml:space="preserve">Table IX</w:t>
      </w:r>
      <w:r>
        <w:br/>
        <w:t xml:space="preserve"/>
      </w:r>
      <w:r>
        <w:rPr>
          <w:rFonts w:ascii="Times New Roman" w:cs="Times New Roman" w:eastAsia="Times New Roman" w:hAnsi="Times New Roman"/>
          <w:smallCaps/>
          <w:sz w:val="16"/>
          <w:szCs w:val="16"/>
        </w:rPr>
        <w:t xml:space="preserve">Finger-level pilot, subject S01: majority-vote accuracy (%), three seeds averaged, no cross-subject pretraining</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60"/>
        <w:gridCol w:w="640"/>
        <w:gridCol w:w="700"/>
        <w:gridCol w:w="880"/>
        <w:gridCol w:w="830"/>
        <w:gridCol w:w="830"/>
      </w:tblGrid>
      <w:tr>
        <w:trPr>
          <w:cantSplit/>
          <w:tblHeader/>
        </w:trPr>
        <w:tc>
          <w:tcPr>
            <w:tcW w:type="dxa" w:w="116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Config. / mode</w:t>
            </w:r>
          </w:p>
        </w:tc>
        <w:tc>
          <w:tcPr>
            <w:tcW w:type="dxa" w:w="64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Trials</w:t>
            </w:r>
          </w:p>
        </w:tc>
        <w:tc>
          <w:tcPr>
            <w:tcW w:type="dxa" w:w="70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Chance</w:t>
            </w:r>
          </w:p>
        </w:tc>
        <w:tc>
          <w:tcPr>
            <w:tcW w:type="dxa" w:w="88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TCFormer</w:t>
            </w:r>
          </w:p>
        </w:tc>
        <w:tc>
          <w:tcPr>
            <w:tcW w:type="dxa" w:w="83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EEGNet</w:t>
            </w:r>
          </w:p>
        </w:tc>
        <w:tc>
          <w:tcPr>
            <w:tcW w:type="dxa" w:w="830"/>
            <w:tcBorders>
              <w:top w:val="single" w:color="808080" w:sz="4"/>
              <w:left w:val="single" w:color="808080" w:sz="4"/>
              <w:bottom w:val="single" w:color="808080" w:sz="4"/>
              <w:right w:val="single" w:color="808080" w:sz="4"/>
            </w:tcBorders>
            <w:shd w:fill="E2E8F0" w:val="clear"/>
            <w:tcMar>
              <w:top w:type="dxa" w:w="30"/>
              <w:left w:type="dxa" w:w="60"/>
              <w:bottom w:type="dxa" w:w="30"/>
              <w:right w:type="dxa" w:w="60"/>
            </w:tcMar>
            <w:vAlign w:val="center"/>
          </w:tcPr>
          <w:p>
            <w:pPr>
              <w:jc w:val="center"/>
            </w:pPr>
            <w:r>
              <w:rPr>
                <w:rFonts w:ascii="Times New Roman" w:cs="Times New Roman" w:eastAsia="Times New Roman" w:hAnsi="Times New Roman"/>
                <w:b/>
                <w:bCs/>
                <w:sz w:val="16"/>
                <w:szCs w:val="16"/>
              </w:rPr>
              <w:t xml:space="preserve">Ensemble</w:t>
            </w:r>
          </w:p>
        </w:tc>
      </w:tr>
      <w:tr>
        <w:trPr>
          <w:cantSplit/>
          <w:tblHeader w:val="false"/>
        </w:trPr>
        <w:tc>
          <w:tcPr>
            <w:tcW w:type="dxa" w:w="11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2-finger – ME</w:t>
            </w:r>
          </w:p>
        </w:tc>
        <w:tc>
          <w:tcPr>
            <w:tcW w:type="dxa" w:w="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448</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50.0</w:t>
            </w:r>
          </w:p>
        </w:tc>
        <w:tc>
          <w:tcPr>
            <w:tcW w:type="dxa" w:w="8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79.9</w:t>
            </w:r>
          </w:p>
        </w:tc>
        <w:tc>
          <w:tcPr>
            <w:tcW w:type="dxa" w:w="83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76.1</w:t>
            </w:r>
          </w:p>
        </w:tc>
        <w:tc>
          <w:tcPr>
            <w:tcW w:type="dxa" w:w="83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78.8</w:t>
            </w:r>
          </w:p>
        </w:tc>
      </w:tr>
      <w:tr>
        <w:trPr>
          <w:cantSplit/>
          <w:tblHeader w:val="false"/>
        </w:trPr>
        <w:tc>
          <w:tcPr>
            <w:tcW w:type="dxa" w:w="11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2-finger – MI</w:t>
            </w:r>
          </w:p>
        </w:tc>
        <w:tc>
          <w:tcPr>
            <w:tcW w:type="dxa" w:w="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448</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50.0</w:t>
            </w:r>
          </w:p>
        </w:tc>
        <w:tc>
          <w:tcPr>
            <w:tcW w:type="dxa" w:w="8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71.4</w:t>
            </w:r>
          </w:p>
        </w:tc>
        <w:tc>
          <w:tcPr>
            <w:tcW w:type="dxa" w:w="83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65.4</w:t>
            </w:r>
          </w:p>
        </w:tc>
        <w:tc>
          <w:tcPr>
            <w:tcW w:type="dxa" w:w="83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69.9</w:t>
            </w:r>
          </w:p>
        </w:tc>
      </w:tr>
      <w:tr>
        <w:trPr>
          <w:cantSplit/>
          <w:tblHeader w:val="false"/>
        </w:trPr>
        <w:tc>
          <w:tcPr>
            <w:tcW w:type="dxa" w:w="11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3-finger – ME</w:t>
            </w:r>
          </w:p>
        </w:tc>
        <w:tc>
          <w:tcPr>
            <w:tcW w:type="dxa" w:w="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336</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33.3</w:t>
            </w:r>
          </w:p>
        </w:tc>
        <w:tc>
          <w:tcPr>
            <w:tcW w:type="dxa" w:w="8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44.6</w:t>
            </w:r>
          </w:p>
        </w:tc>
        <w:tc>
          <w:tcPr>
            <w:tcW w:type="dxa" w:w="83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46.7</w:t>
            </w:r>
          </w:p>
        </w:tc>
        <w:tc>
          <w:tcPr>
            <w:tcW w:type="dxa" w:w="83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47.6</w:t>
            </w:r>
          </w:p>
        </w:tc>
      </w:tr>
      <w:tr>
        <w:trPr>
          <w:cantSplit/>
          <w:tblHeader w:val="false"/>
        </w:trPr>
        <w:tc>
          <w:tcPr>
            <w:tcW w:type="dxa" w:w="116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3-finger – MI</w:t>
            </w:r>
          </w:p>
        </w:tc>
        <w:tc>
          <w:tcPr>
            <w:tcW w:type="dxa" w:w="64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336</w:t>
            </w:r>
          </w:p>
        </w:tc>
        <w:tc>
          <w:tcPr>
            <w:tcW w:type="dxa" w:w="7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33.3</w:t>
            </w:r>
          </w:p>
        </w:tc>
        <w:tc>
          <w:tcPr>
            <w:tcW w:type="dxa" w:w="88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43.2</w:t>
            </w:r>
          </w:p>
        </w:tc>
        <w:tc>
          <w:tcPr>
            <w:tcW w:type="dxa" w:w="83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37.2</w:t>
            </w:r>
          </w:p>
        </w:tc>
        <w:tc>
          <w:tcPr>
            <w:tcW w:type="dxa" w:w="83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41.1</w:t>
            </w:r>
          </w:p>
        </w:tc>
      </w:tr>
    </w:tbl>
    <w:p>
      <w:pPr>
        <w:spacing w:after="80" w:line="240"/>
        <w:ind w:firstLine="200"/>
        <w:jc w:val="both"/>
      </w:pPr>
      <w:r>
        <w:rPr>
          <w:rFonts w:ascii="Times New Roman" w:cs="Times New Roman" w:eastAsia="Times New Roman" w:hAnsi="Times New Roman"/>
          <w:sz w:val="20"/>
          <w:szCs w:val="20"/>
        </w:rPr>
        <w:t xml:space="preserve">These results come from one subject, so they say nothing about differences between people. The intervals treat trials as independent even though they come from one subject and a few sessions, so they are optimistic. We also cannot test the architecture differences without per-trial predictions. Our two-finger executed-movement accuracy is close to the base paper’s 81.10% [1], and our imagined-movement accuracy is about 9 points below its 80.56%. Our three-finger accuracies are 15 to 17 points below its 60.11% and 60.61%. The base paper reports means over 21 subjects with online fine-tuning, so this comparison is only a rough guide.</w:t>
      </w:r>
    </w:p>
    <w:p>
      <w:pPr>
        <w:pStyle w:val="Heading1"/>
        <w:keepNext/>
        <w:spacing w:after="80" w:before="200"/>
        <w:jc w:val="center"/>
      </w:pPr>
      <w:r>
        <w:rPr>
          <w:rFonts w:ascii="Times New Roman" w:cs="Times New Roman" w:eastAsia="Times New Roman" w:hAnsi="Times New Roman"/>
          <w:smallCaps/>
          <w:sz w:val="20"/>
          <w:szCs w:val="20"/>
        </w:rPr>
        <w:t xml:space="preserve">8. Software System and Deployment</w:t>
      </w:r>
    </w:p>
    <w:p>
      <w:pPr>
        <w:pStyle w:val="Heading2"/>
        <w:keepNext/>
        <w:spacing w:after="60" w:before="120"/>
      </w:pPr>
      <w:r>
        <w:rPr>
          <w:rFonts w:ascii="Times New Roman" w:cs="Times New Roman" w:eastAsia="Times New Roman" w:hAnsi="Times New Roman"/>
          <w:i/>
          <w:iCs/>
          <w:sz w:val="20"/>
          <w:szCs w:val="20"/>
        </w:rPr>
        <w:t xml:space="preserve">8.1 Architecture</w:t>
      </w:r>
    </w:p>
    <w:p>
      <w:pPr>
        <w:spacing w:after="80" w:line="240"/>
        <w:ind w:firstLine="200"/>
        <w:jc w:val="both"/>
      </w:pPr>
      <w:r>
        <w:rPr>
          <w:rFonts w:ascii="Times New Roman" w:cs="Times New Roman" w:eastAsia="Times New Roman" w:hAnsi="Times New Roman"/>
          <w:sz w:val="20"/>
          <w:szCs w:val="20"/>
        </w:rPr>
        <w:t xml:space="preserve">The trained models are deployed as the three-tier application shown in Fig. 2. </w:t>
      </w:r>
      <w:r>
        <w:rPr>
          <w:rFonts w:ascii="Times New Roman" w:cs="Times New Roman" w:eastAsia="Times New Roman" w:hAnsi="Times New Roman"/>
          <w:i/>
          <w:iCs/>
          <w:sz w:val="20"/>
          <w:szCs w:val="20"/>
        </w:rPr>
        <w:t xml:space="preserve">Tier 1 (presentation)</w:t>
      </w:r>
      <w:r>
        <w:rPr>
          <w:rFonts w:ascii="Times New Roman" w:cs="Times New Roman" w:eastAsia="Times New Roman" w:hAnsi="Times New Roman"/>
          <w:sz w:val="20"/>
          <w:szCs w:val="20"/>
        </w:rPr>
        <w:t xml:space="preserve"> is a browser-based Decode Console. It shows the decoded command for each window, the class probabilities and a three-dimensional bionic-limb model. </w:t>
      </w:r>
      <w:r>
        <w:rPr>
          <w:rFonts w:ascii="Times New Roman" w:cs="Times New Roman" w:eastAsia="Times New Roman" w:hAnsi="Times New Roman"/>
          <w:i/>
          <w:iCs/>
          <w:sz w:val="20"/>
          <w:szCs w:val="20"/>
        </w:rPr>
        <w:t xml:space="preserve">Tier 2 (application and ML logic)</w:t>
      </w:r>
      <w:r>
        <w:rPr>
          <w:rFonts w:ascii="Times New Roman" w:cs="Times New Roman" w:eastAsia="Times New Roman" w:hAnsi="Times New Roman"/>
          <w:sz w:val="20"/>
          <w:szCs w:val="20"/>
        </w:rPr>
        <w:t xml:space="preserve"> is a FastAPI server. Its endpoints are /api/health, /api/models, /api/tasks, /api/predict, /api/replay/log/{task}, /ws/replay/{task}, /api/upload/edf and /api/upload/csv. It runs the preprocessing of Section 5.1 and one ONNX Runtime model per task and mode, and turns window predictions into a trial label by majority vote. The band-pass filter is stored as fixed taps that match the MNE filter used in training (maximum difference 4×10⁻¹⁴ on test data), so the server sees the same input the models saw during training. </w:t>
      </w:r>
      <w:r>
        <w:rPr>
          <w:rFonts w:ascii="Times New Roman" w:cs="Times New Roman" w:eastAsia="Times New Roman" w:hAnsi="Times New Roman"/>
          <w:i/>
          <w:iCs/>
          <w:sz w:val="20"/>
          <w:szCs w:val="20"/>
        </w:rPr>
        <w:t xml:space="preserve">Tier 3 (data and storage)</w:t>
      </w:r>
      <w:r>
        <w:rPr>
          <w:rFonts w:ascii="Times New Roman" w:cs="Times New Roman" w:eastAsia="Times New Roman" w:hAnsi="Times New Roman"/>
          <w:sz w:val="20"/>
          <w:szCs w:val="20"/>
        </w:rPr>
        <w:t xml:space="preserve"> holds the EEG data, the ONNX model files with a manifest that records each model’s task, mode, label order and held-out accuracy, and the replay logs. The tiers talk over REST and WebSocket.</w:t>
      </w:r>
    </w:p>
    <w:p>
      <w:pPr>
        <w:spacing w:after="80" w:line="240"/>
        <w:ind w:firstLine="200"/>
        <w:jc w:val="both"/>
      </w:pPr>
      <w:r>
        <w:rPr>
          <w:rFonts w:ascii="Times New Roman" w:cs="Times New Roman" w:eastAsia="Times New Roman" w:hAnsi="Times New Roman"/>
          <w:sz w:val="20"/>
          <w:szCs w:val="20"/>
        </w:rPr>
        <w:t xml:space="preserve">The system is software-only by design. It runs as a web service on Render or locally on a laptop. No physical robotic hardware is targeted, and the pipeline calls no external LLM or third-party inference API. The server never invents output. If no model is loaded for a task and mode, it returns an error. Ground truth is shown only when the data contain it (the T0/T1/T2 annotations of an EDF file), and files without the 64 PhysioNet channels are rejected. The server has 62 automated tests: 45 use small synthetic ONNX models and the stored replay logs, 10 run the four exported TCFormer models themselves, 3 check the web page, and 4 cover the finger replays. A public instance is hosted at https://neurobot-nrnn.onrender.com/ on the free plan, so the first request after an idle period is slow.</w:t>
      </w:r>
    </w:p>
    <w:p>
      <w:pPr>
        <w:pStyle w:val="Heading2"/>
        <w:keepNext/>
        <w:spacing w:after="60" w:before="120"/>
      </w:pPr>
      <w:r>
        <w:rPr>
          <w:rFonts w:ascii="Times New Roman" w:cs="Times New Roman" w:eastAsia="Times New Roman" w:hAnsi="Times New Roman"/>
          <w:i/>
          <w:iCs/>
          <w:sz w:val="20"/>
          <w:szCs w:val="20"/>
        </w:rPr>
        <w:t xml:space="preserve">8.2 Front End</w:t>
      </w:r>
    </w:p>
    <w:p>
      <w:pPr>
        <w:spacing w:after="80" w:line="240"/>
        <w:ind w:firstLine="200"/>
        <w:jc w:val="both"/>
      </w:pPr>
      <w:r>
        <w:rPr>
          <w:rFonts w:ascii="Times New Roman" w:cs="Times New Roman" w:eastAsia="Times New Roman" w:hAnsi="Times New Roman"/>
          <w:sz w:val="20"/>
          <w:szCs w:val="20"/>
        </w:rPr>
        <w:t xml:space="preserve">Fig. 4 shows the Decode Console. For each window of a replayed or uploaded session it shows the decoded command with its confidence, the ground-truth label when there is one, and a match flag. It also drives a three-dimensional virtual bionic-limb model in the browser that moves the arms, the legs or both, depending on the decoded class. The limbs are a software visualization only, and no physical hardware is involved. Below the model the console shows a six-channel EEG window with playback controls, the softmax class probabilities and the task selector. Fig. 5 shows the other views: the Task B replay with the legs extended (a), a finger-kinematics test with manual sliders (b), the session analytics with a confusion matrix (c), and the Custom Data Lab for uploading EDF or CSV recordings or generating a synthetic session (d). The finger test is a manual demonstration. A separate finger view shows a close-up of the right hand and flexes the decoded finger (thumb, index or pinky). It replays held-out trials of finger models for subject S01, each trained for 25 epochs with one seed (majority-vote accuracy 77.5% and 69.4% for two fingers, executed and imagined, and 54.2% and 43.5% for three). These are not the three-seed results of Table IX. Without a replay it plays a labelled simulated sequence. The hand model has five articulated digits, but the finger-level dataset covers thumb, index, middle and pinky, and the deployed models decode whole-limb commands. A decoded limb command therefore curls the whole hand, not single fingers. The Signal tab marks band power, amplitude and signal quality as not measured. Rows and colors are built from the label order of the loaded task, so the same interface serves both tasks.</w:t>
      </w:r>
    </w:p>
    <w:p>
      <w:pPr>
        <w:pStyle w:val="Heading2"/>
        <w:keepNext/>
        <w:spacing w:after="60" w:before="120"/>
      </w:pPr>
      <w:r>
        <w:rPr>
          <w:rFonts w:ascii="Times New Roman" w:cs="Times New Roman" w:eastAsia="Times New Roman" w:hAnsi="Times New Roman"/>
          <w:i/>
          <w:iCs/>
          <w:sz w:val="20"/>
          <w:szCs w:val="20"/>
        </w:rPr>
        <w:t xml:space="preserve">8.3 Test Cases</w:t>
      </w:r>
    </w:p>
    <w:p>
      <w:pPr>
        <w:spacing w:after="80" w:line="240"/>
        <w:ind w:firstLine="200"/>
        <w:jc w:val="both"/>
      </w:pPr>
      <w:r>
        <w:rPr>
          <w:rFonts w:ascii="Times New Roman" w:cs="Times New Roman" w:eastAsia="Times New Roman" w:hAnsi="Times New Roman"/>
          <w:sz w:val="20"/>
          <w:szCs w:val="20"/>
        </w:rPr>
        <w:t xml:space="preserve">Table X lists the checks made on the system. T1–T7, T9 and T10 are part of the automated suite (62 tests, all passing), and T8 was checked by hand in the front end. Most of the suite uses small synthetic ONNX models, so it tests the server logic. T9 and T10 check that the real exported files load and agree with their manifest and replay logs, not their accuracy on new data.</w:t>
      </w:r>
    </w:p>
    <w:p>
      <w:pPr>
        <w:keepNext/>
        <w:spacing w:after="40" w:before="100"/>
        <w:jc w:val="center"/>
      </w:pPr>
      <w:r>
        <w:rPr>
          <w:rFonts w:ascii="Times New Roman" w:cs="Times New Roman" w:eastAsia="Times New Roman" w:hAnsi="Times New Roman"/>
          <w:smallCaps/>
          <w:sz w:val="16"/>
          <w:szCs w:val="16"/>
        </w:rPr>
        <w:t xml:space="preserve">Table X</w:t>
      </w:r>
      <w:r>
        <w:br/>
        <w:t xml:space="preserve"/>
      </w:r>
      <w:r>
        <w:rPr>
          <w:rFonts w:ascii="Times New Roman" w:cs="Times New Roman" w:eastAsia="Times New Roman" w:hAnsi="Times New Roman"/>
          <w:smallCaps/>
          <w:sz w:val="16"/>
          <w:szCs w:val="16"/>
        </w:rPr>
        <w:t xml:space="preserve">Functional test cases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420"/>
        <w:gridCol w:w="1900"/>
        <w:gridCol w:w="2000"/>
        <w:gridCol w:w="720"/>
      </w:tblGrid>
      <w:tr>
        <w:trPr>
          <w:cantSplit/>
          <w:tblHeader w:val="false"/>
        </w:trPr>
        <w:tc>
          <w:tcPr>
            <w:tcW w:type="dxa" w:w="4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T1</w:t>
            </w:r>
          </w:p>
        </w:tc>
        <w:tc>
          <w:tcPr>
            <w:tcW w:type="dxa" w:w="19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/api/health</w:t>
            </w:r>
          </w:p>
        </w:tc>
        <w:tc>
          <w:tcPr>
            <w:tcW w:type="dxa" w:w="20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Backend reports its status, the loaded models and any load errors</w:t>
            </w:r>
          </w:p>
        </w:tc>
        <w:tc>
          <w:tcPr>
            <w:tcW w:type="dxa" w:w="7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Pass</w:t>
            </w:r>
          </w:p>
        </w:tc>
      </w:tr>
      <w:tr>
        <w:trPr>
          <w:cantSplit/>
          <w:tblHeader w:val="false"/>
        </w:trPr>
        <w:tc>
          <w:tcPr>
            <w:tcW w:type="dxa" w:w="4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T2</w:t>
            </w:r>
          </w:p>
        </w:tc>
        <w:tc>
          <w:tcPr>
            <w:tcW w:type="dxa" w:w="19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/api/tasks</w:t>
            </w:r>
          </w:p>
        </w:tc>
        <w:tc>
          <w:tcPr>
            <w:tcW w:type="dxa" w:w="20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Both tasks are listed with labels, models and replays</w:t>
            </w:r>
          </w:p>
        </w:tc>
        <w:tc>
          <w:tcPr>
            <w:tcW w:type="dxa" w:w="7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Pass</w:t>
            </w:r>
          </w:p>
        </w:tc>
      </w:tr>
      <w:tr>
        <w:trPr>
          <w:cantSplit/>
          <w:tblHeader w:val="false"/>
        </w:trPr>
        <w:tc>
          <w:tcPr>
            <w:tcW w:type="dxa" w:w="4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T3</w:t>
            </w:r>
          </w:p>
        </w:tc>
        <w:tc>
          <w:tcPr>
            <w:tcW w:type="dxa" w:w="19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/api/replay/log/{task}</w:t>
            </w:r>
          </w:p>
        </w:tc>
        <w:tc>
          <w:tcPr>
            <w:tcW w:type="dxa" w:w="20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Stored replay log, with its provenance, returned for each task</w:t>
            </w:r>
          </w:p>
        </w:tc>
        <w:tc>
          <w:tcPr>
            <w:tcW w:type="dxa" w:w="7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Pass</w:t>
            </w:r>
          </w:p>
        </w:tc>
      </w:tr>
      <w:tr>
        <w:trPr>
          <w:cantSplit/>
          <w:tblHeader w:val="false"/>
        </w:trPr>
        <w:tc>
          <w:tcPr>
            <w:tcW w:type="dxa" w:w="4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T4</w:t>
            </w:r>
          </w:p>
        </w:tc>
        <w:tc>
          <w:tcPr>
            <w:tcW w:type="dxa" w:w="19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/ws/replay/{task}</w:t>
            </w:r>
          </w:p>
        </w:tc>
        <w:tc>
          <w:tcPr>
            <w:tcW w:type="dxa" w:w="20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Per-window predictions stream over WebSocket</w:t>
            </w:r>
          </w:p>
        </w:tc>
        <w:tc>
          <w:tcPr>
            <w:tcW w:type="dxa" w:w="7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Pass</w:t>
            </w:r>
          </w:p>
        </w:tc>
      </w:tr>
      <w:tr>
        <w:trPr>
          <w:cantSplit/>
          <w:tblHeader w:val="false"/>
        </w:trPr>
        <w:tc>
          <w:tcPr>
            <w:tcW w:type="dxa" w:w="4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T5</w:t>
            </w:r>
          </w:p>
        </w:tc>
        <w:tc>
          <w:tcPr>
            <w:tcW w:type="dxa" w:w="19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/api/predict</w:t>
            </w:r>
          </w:p>
        </w:tc>
        <w:tc>
          <w:tcPr>
            <w:tcW w:type="dxa" w:w="20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Probabilities sum to 1, label order follows the manifest, wrong shapes are rejected</w:t>
            </w:r>
          </w:p>
        </w:tc>
        <w:tc>
          <w:tcPr>
            <w:tcW w:type="dxa" w:w="7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Pass</w:t>
            </w:r>
          </w:p>
        </w:tc>
      </w:tr>
      <w:tr>
        <w:trPr>
          <w:cantSplit/>
          <w:tblHeader w:val="false"/>
        </w:trPr>
        <w:tc>
          <w:tcPr>
            <w:tcW w:type="dxa" w:w="4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T6</w:t>
            </w:r>
          </w:p>
        </w:tc>
        <w:tc>
          <w:tcPr>
            <w:tcW w:type="dxa" w:w="19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/api/upload/*</w:t>
            </w:r>
          </w:p>
        </w:tc>
        <w:tc>
          <w:tcPr>
            <w:tcW w:type="dxa" w:w="20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Ground truth only from real annotations; files without 64 channels or over the size limit are rejected</w:t>
            </w:r>
          </w:p>
        </w:tc>
        <w:tc>
          <w:tcPr>
            <w:tcW w:type="dxa" w:w="7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Pass</w:t>
            </w:r>
          </w:p>
        </w:tc>
      </w:tr>
      <w:tr>
        <w:trPr>
          <w:cantSplit/>
          <w:tblHeader w:val="false"/>
        </w:trPr>
        <w:tc>
          <w:tcPr>
            <w:tcW w:type="dxa" w:w="4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T7</w:t>
            </w:r>
          </w:p>
        </w:tc>
        <w:tc>
          <w:tcPr>
            <w:tcW w:type="dxa" w:w="19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Preprocessing</w:t>
            </w:r>
          </w:p>
        </w:tc>
        <w:tc>
          <w:tcPr>
            <w:tcW w:type="dxa" w:w="20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4–40 Hz FIR output equals the MNE training filter</w:t>
            </w:r>
          </w:p>
        </w:tc>
        <w:tc>
          <w:tcPr>
            <w:tcW w:type="dxa" w:w="7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Pass</w:t>
            </w:r>
          </w:p>
        </w:tc>
      </w:tr>
      <w:tr>
        <w:trPr>
          <w:cantSplit/>
          <w:tblHeader w:val="false"/>
        </w:trPr>
        <w:tc>
          <w:tcPr>
            <w:tcW w:type="dxa" w:w="4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T8</w:t>
            </w:r>
          </w:p>
        </w:tc>
        <w:tc>
          <w:tcPr>
            <w:tcW w:type="dxa" w:w="19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Decode Console</w:t>
            </w:r>
          </w:p>
        </w:tc>
        <w:tc>
          <w:tcPr>
            <w:tcW w:type="dxa" w:w="20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Rows and colors built from the loaded log’s label order (Task A and B)</w:t>
            </w:r>
          </w:p>
        </w:tc>
        <w:tc>
          <w:tcPr>
            <w:tcW w:type="dxa" w:w="7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Pass (manual)</w:t>
            </w:r>
          </w:p>
        </w:tc>
      </w:tr>
      <w:tr>
        <w:trPr>
          <w:cantSplit/>
          <w:tblHeader w:val="false"/>
        </w:trPr>
        <w:tc>
          <w:tcPr>
            <w:tcW w:type="dxa" w:w="4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T9</w:t>
            </w:r>
          </w:p>
        </w:tc>
        <w:tc>
          <w:tcPr>
            <w:tcW w:type="dxa" w:w="19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Exported models</w:t>
            </w:r>
          </w:p>
        </w:tc>
        <w:tc>
          <w:tcPr>
            <w:tcW w:type="dxa" w:w="20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Four ONNX models load and match PyTorch (1e-5)</w:t>
            </w:r>
          </w:p>
        </w:tc>
        <w:tc>
          <w:tcPr>
            <w:tcW w:type="dxa" w:w="7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Pass</w:t>
            </w:r>
          </w:p>
        </w:tc>
      </w:tr>
      <w:tr>
        <w:trPr>
          <w:cantSplit/>
          <w:tblHeader w:val="false"/>
        </w:trPr>
        <w:tc>
          <w:tcPr>
            <w:tcW w:type="dxa" w:w="4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T10</w:t>
            </w:r>
          </w:p>
        </w:tc>
        <w:tc>
          <w:tcPr>
            <w:tcW w:type="dxa" w:w="19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Replay logs</w:t>
            </w:r>
          </w:p>
        </w:tc>
        <w:tc>
          <w:tcPr>
            <w:tcW w:type="dxa" w:w="200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left"/>
            </w:pPr>
            <w:r>
              <w:rPr>
                <w:rFonts w:ascii="Times New Roman" w:cs="Times New Roman" w:eastAsia="Times New Roman" w:hAnsi="Times New Roman"/>
                <w:b w:val="false"/>
                <w:bCs w:val="false"/>
                <w:sz w:val="16"/>
                <w:szCs w:val="16"/>
              </w:rPr>
              <w:t xml:space="preserve">Replay logs match the manifest</w:t>
            </w:r>
          </w:p>
        </w:tc>
        <w:tc>
          <w:tcPr>
            <w:tcW w:type="dxa" w:w="720"/>
            <w:tcBorders>
              <w:top w:val="single" w:color="808080" w:sz="4"/>
              <w:left w:val="single" w:color="808080" w:sz="4"/>
              <w:bottom w:val="single" w:color="808080" w:sz="4"/>
              <w:right w:val="single" w:color="808080" w:sz="4"/>
            </w:tcBorders>
            <w:tcMar>
              <w:top w:type="dxa" w:w="30"/>
              <w:left w:type="dxa" w:w="60"/>
              <w:bottom w:type="dxa" w:w="30"/>
              <w:right w:type="dxa" w:w="60"/>
            </w:tcMar>
            <w:vAlign w:val="center"/>
          </w:tcPr>
          <w:p>
            <w:pPr>
              <w:jc w:val="center"/>
            </w:pPr>
            <w:r>
              <w:rPr>
                <w:rFonts w:ascii="Times New Roman" w:cs="Times New Roman" w:eastAsia="Times New Roman" w:hAnsi="Times New Roman"/>
                <w:b w:val="false"/>
                <w:bCs w:val="false"/>
                <w:sz w:val="16"/>
                <w:szCs w:val="16"/>
              </w:rPr>
              <w:t xml:space="preserve">Pass</w:t>
            </w:r>
          </w:p>
        </w:tc>
      </w:tr>
    </w:tbl>
    <w:p>
      <w:pPr>
        <w:spacing w:after="60"/>
      </w:pPr>
    </w:p>
    <w:p>
      <w:pPr>
        <w:sectPr>
          <w:footerReference w:type="default" r:id="rId8"/>
          <w:type w:val="continuous"/>
          <w:pgSz w:w="12240" w:h="15840" w:orient="portrait"/>
          <w:pgMar w:top="1080" w:right="900" w:bottom="1200" w:left="900" w:header="500" w:footer="500" w:gutter="0"/>
          <w:pgNumType/>
          <w:cols w:space="360" w:num="2"/>
          <w:docGrid w:linePitch="360"/>
        </w:sectPr>
      </w:pPr>
    </w:p>
    <w:p>
      <w:pPr>
        <w:keepNext/>
        <w:spacing w:after="20" w:before="80"/>
        <w:jc w:val="center"/>
      </w:pPr>
      <w:r>
        <w:drawing>
          <wp:inline distT="0" distB="0" distL="0" distR="0">
            <wp:extent cx="2926080" cy="3131800"/>
            <wp:effectExtent t="0" r="0" b="0" l="0"/>
            <wp:docPr id="900" name="Fig4" descr="assets/arch.jpg" title="assets/ar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Fig4" descr=""/>
                    <pic:cNvPicPr>
                      <a:picLocks noChangeAspect="1" noChangeArrowheads="1"/>
                    </pic:cNvPicPr>
                  </pic:nvPicPr>
                  <pic:blipFill>
                    <a:blip r:embed="rId100" cstate="none"/>
                    <a:srcRect/>
                    <a:stretch>
                      <a:fillRect/>
                    </a:stretch>
                  </pic:blipFill>
                  <pic:spPr bwMode="auto">
                    <a:xfrm>
                      <a:off x="0" y="0"/>
                      <a:ext cx="2926080" cy="3131800"/>
                    </a:xfrm>
                    <a:prstGeom prst="rect">
                      <a:avLst/>
                    </a:prstGeom>
                  </pic:spPr>
                </pic:pic>
              </a:graphicData>
            </a:graphic>
          </wp:inline>
        </w:drawing>
      </w:r>
    </w:p>
    <w:p>
      <w:pPr>
        <w:spacing w:after="120" w:before="40"/>
        <w:jc w:val="center"/>
      </w:pPr>
      <w:r>
        <w:rPr>
          <w:rFonts w:ascii="Times New Roman" w:cs="Times New Roman" w:eastAsia="Times New Roman" w:hAnsi="Times New Roman"/>
          <w:sz w:val="16"/>
          <w:szCs w:val="16"/>
        </w:rPr>
        <w:t xml:space="preserve">Fig. 4. Decode Console, 3D Limb Decoder view, replaying the held-out trials of the exported S007 executed-movement model (Task A) at one right-fist window: decoded command with confidence and a match flag against the ground-truth label, the humanoid model with the right arm and hand actuated, softmax class probabilities, the task selector, and the six-channel EEG window with playback controls.</w:t>
      </w:r>
    </w:p>
    <w:p>
      <w:pPr>
        <w:keepNext/>
        <w:spacing w:after="20" w:before="80"/>
        <w:jc w:val="center"/>
      </w:pPr>
      <w:r>
        <w:drawing>
          <wp:inline distT="0" distB="0" distL="0" distR="0">
            <wp:extent cx="5486400" cy="4122000"/>
            <wp:effectExtent t="0" r="0" b="0" l="0"/>
            <wp:docPr id="901" name="Fig5" descr="assets/arch.jpg" title="assets/ar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5" descr=""/>
                    <pic:cNvPicPr>
                      <a:picLocks noChangeAspect="1" noChangeArrowheads="1"/>
                    </pic:cNvPicPr>
                  </pic:nvPicPr>
                  <pic:blipFill>
                    <a:blip r:embed="rId101" cstate="none"/>
                    <a:srcRect/>
                    <a:stretch>
                      <a:fillRect/>
                    </a:stretch>
                  </pic:blipFill>
                  <pic:spPr bwMode="auto">
                    <a:xfrm>
                      <a:off x="0" y="0"/>
                      <a:ext cx="5486400" cy="4122000"/>
                    </a:xfrm>
                    <a:prstGeom prst="rect">
                      <a:avLst/>
                    </a:prstGeom>
                  </pic:spPr>
                </pic:pic>
              </a:graphicData>
            </a:graphic>
          </wp:inline>
        </w:drawing>
      </w:r>
    </w:p>
    <w:p>
      <w:pPr>
        <w:spacing w:after="120" w:before="40"/>
        <w:jc w:val="center"/>
      </w:pPr>
      <w:r>
        <w:rPr>
          <w:rFonts w:ascii="Times New Roman" w:cs="Times New Roman" w:eastAsia="Times New Roman" w:hAnsi="Times New Roman"/>
          <w:sz w:val="16"/>
          <w:szCs w:val="16"/>
        </w:rPr>
        <w:t xml:space="preserve">Fig. 5. Other views of the front end: (a) Task B replay with both feet decoded and the bionic legs extended; (b) finger-kinematics test with manual sliders, not driven by EEG (five digits are modelled; the finger dataset covers thumb, index, middle and pinky); (c) session analytics, per-window accuracy and confusion matrix of the loaded log; (d) Custom Data Lab for EDF/CSV upload and synthetic sessions.</w:t>
      </w:r>
    </w:p>
    <w:p>
      <w:pPr>
        <w:sectPr>
          <w:footerReference w:type="default" r:id="rId9"/>
          <w:type w:val="continuous"/>
          <w:pgSz w:w="12240" w:h="15840" w:orient="portrait"/>
          <w:pgMar w:top="1080" w:right="900" w:bottom="1200" w:left="900" w:header="500" w:footer="500" w:gutter="0"/>
          <w:pgNumType/>
          <w:docGrid w:linePitch="360"/>
        </w:sectPr>
      </w:pPr>
    </w:p>
    <w:p>
      <w:pPr>
        <w:pStyle w:val="Heading1"/>
        <w:keepNext/>
        <w:spacing w:after="80" w:before="200"/>
        <w:jc w:val="center"/>
      </w:pPr>
      <w:r>
        <w:rPr>
          <w:rFonts w:ascii="Times New Roman" w:cs="Times New Roman" w:eastAsia="Times New Roman" w:hAnsi="Times New Roman"/>
          <w:smallCaps/>
          <w:sz w:val="20"/>
          <w:szCs w:val="20"/>
        </w:rPr>
        <w:t xml:space="preserve">9. Limitations</w:t>
      </w:r>
    </w:p>
    <w:p>
      <w:pPr>
        <w:pStyle w:val="ListParagraph"/>
        <w:numPr>
          <w:ilvl w:val="0"/>
          <w:numId w:val="2"/>
        </w:numPr>
        <w:spacing w:after="40" w:line="240"/>
        <w:jc w:val="both"/>
      </w:pPr>
      <w:r>
        <w:rPr>
          <w:rFonts w:ascii="Times New Roman" w:cs="Times New Roman" w:eastAsia="Times New Roman" w:hAnsi="Times New Roman"/>
          <w:sz w:val="20"/>
          <w:szCs w:val="20"/>
        </w:rPr>
        <w:t xml:space="preserve">Evaluation sets are small: about 18 trials per subject and mode, so per-subject accuracy moves in steps of about 5.6 points and individual values such as 100% rest on 18 trials.</w:t>
      </w:r>
    </w:p>
    <w:p>
      <w:pPr>
        <w:pStyle w:val="ListParagraph"/>
        <w:numPr>
          <w:ilvl w:val="0"/>
          <w:numId w:val="2"/>
        </w:numPr>
        <w:spacing w:after="40" w:line="240"/>
        <w:jc w:val="both"/>
      </w:pPr>
      <w:r>
        <w:rPr>
          <w:rFonts w:ascii="Times New Roman" w:cs="Times New Roman" w:eastAsia="Times New Roman" w:hAnsi="Times New Roman"/>
          <w:sz w:val="20"/>
          <w:szCs w:val="20"/>
        </w:rPr>
        <w:t xml:space="preserve">The trial-level results of Table III are single, unseeded runs. Two runs of the same code differ by up to about 7 points in group mean (Section 7). The cross-subject comparison (Tables VI–VIII) averages three seeds in both arms, but each arm is one session per task, and the two arms ran in separate sessions.</w:t>
      </w:r>
    </w:p>
    <w:p>
      <w:pPr>
        <w:pStyle w:val="ListParagraph"/>
        <w:numPr>
          <w:ilvl w:val="0"/>
          <w:numId w:val="2"/>
        </w:numPr>
        <w:spacing w:after="40" w:line="240"/>
        <w:jc w:val="both"/>
      </w:pPr>
      <w:r>
        <w:rPr>
          <w:rFonts w:ascii="Times New Roman" w:cs="Times New Roman" w:eastAsia="Times New Roman" w:hAnsi="Times New Roman"/>
          <w:sz w:val="20"/>
          <w:szCs w:val="20"/>
        </w:rPr>
        <w:t xml:space="preserve">Differences between subjects are large and persist across every architecture and protocol we tried. A few subjects (e.g., S002, S004, S007) did better than the rest in earlier runs, which suggests a physiological ceiling for weak responders rather than a methodological one. In the cross-subject runs, however, executed- and imagined-movement accuracies were uncorrelated across subjects in Task A (r = 0.02) and moderately correlated in Task B (r = 0.55; n = 10 each). Only S006 and S009 were at or below chance on imagined movement in both tasks, and S009 reached 88.9–94.4% on executed movement, so the weakness may be specific to imagery.</w:t>
      </w:r>
    </w:p>
    <w:p>
      <w:pPr>
        <w:pStyle w:val="ListParagraph"/>
        <w:numPr>
          <w:ilvl w:val="0"/>
          <w:numId w:val="2"/>
        </w:numPr>
        <w:spacing w:after="40" w:line="240"/>
        <w:jc w:val="both"/>
      </w:pPr>
      <w:r>
        <w:rPr>
          <w:rFonts w:ascii="Times New Roman" w:cs="Times New Roman" w:eastAsia="Times New Roman" w:hAnsi="Times New Roman"/>
          <w:sz w:val="20"/>
          <w:szCs w:val="20"/>
        </w:rPr>
        <w:t xml:space="preserve">Motor imagery (MI) consistently underperforms movement execution (ME) in every configuration tested, consistent with the weaker, more variable cortical signal of imagined movement.</w:t>
      </w:r>
    </w:p>
    <w:p>
      <w:pPr>
        <w:pStyle w:val="ListParagraph"/>
        <w:numPr>
          <w:ilvl w:val="0"/>
          <w:numId w:val="2"/>
        </w:numPr>
        <w:spacing w:after="40" w:line="240"/>
        <w:jc w:val="both"/>
      </w:pPr>
      <w:r>
        <w:rPr>
          <w:rFonts w:ascii="Times New Roman" w:cs="Times New Roman" w:eastAsia="Times New Roman" w:hAnsi="Times New Roman"/>
          <w:sz w:val="20"/>
          <w:szCs w:val="20"/>
        </w:rPr>
        <w:t xml:space="preserve">Group-mean accuracy passes our 85% target only for Task B executed movement (TCFormer 86.7%, 95% interval ±9.4 points, which includes values below 85%; the baseline without pretraining reached 78.9%). The other three conditions reach 70–74% with cross-subject pretraining, and imagined movement is still far from the target.</w:t>
      </w:r>
    </w:p>
    <w:p>
      <w:pPr>
        <w:pStyle w:val="ListParagraph"/>
        <w:numPr>
          <w:ilvl w:val="0"/>
          <w:numId w:val="2"/>
        </w:numPr>
        <w:spacing w:after="40" w:line="240"/>
        <w:jc w:val="both"/>
      </w:pPr>
      <w:r>
        <w:rPr>
          <w:rFonts w:ascii="Times New Roman" w:cs="Times New Roman" w:eastAsia="Times New Roman" w:hAnsi="Times New Roman"/>
          <w:sz w:val="20"/>
          <w:szCs w:val="20"/>
        </w:rPr>
        <w:t xml:space="preserve">The window-length ablation (v9) covered only four subjects of Task A and was inconclusive. Cross-subject pretraining is significant in only one of four conditions (Task B executed movement, +7.8 points, p = 0.003). On Task A its +8.3 points in both modes cannot be told apart from zero with ten subjects of about 18 trials each (p = 0.12 and 0.11), and Task B imagined movement shows no gain (Section 7).</w:t>
      </w:r>
    </w:p>
    <w:p>
      <w:pPr>
        <w:pStyle w:val="ListParagraph"/>
        <w:numPr>
          <w:ilvl w:val="0"/>
          <w:numId w:val="2"/>
        </w:numPr>
        <w:spacing w:after="40" w:line="240"/>
        <w:jc w:val="both"/>
      </w:pPr>
      <w:r>
        <w:rPr>
          <w:rFonts w:ascii="Times New Roman" w:cs="Times New Roman" w:eastAsia="Times New Roman" w:hAnsi="Times New Roman"/>
          <w:sz w:val="20"/>
          <w:szCs w:val="20"/>
        </w:rPr>
        <w:t xml:space="preserve">The finger-level results come from a single subject (S01), so they say nothing about differences between people, and their intervals (±3.7 points for two-finger executed movement) treat trials from one subject as independent. They were obtained offline, without the real-time, closed-loop neurofeedback that the base paper reports as improving subject performance during acquisition. That may be part of why our three-finger accuracy (44.6% executed) is below the base paper’s 60.11%.</w:t>
      </w:r>
    </w:p>
    <w:p>
      <w:pPr>
        <w:pStyle w:val="ListParagraph"/>
        <w:numPr>
          <w:ilvl w:val="0"/>
          <w:numId w:val="2"/>
        </w:numPr>
        <w:spacing w:after="40" w:line="240"/>
        <w:jc w:val="both"/>
      </w:pPr>
      <w:r>
        <w:rPr>
          <w:rFonts w:ascii="Times New Roman" w:cs="Times New Roman" w:eastAsia="Times New Roman" w:hAnsi="Times New Roman"/>
          <w:sz w:val="20"/>
          <w:szCs w:val="20"/>
        </w:rPr>
        <w:t xml:space="preserve">The exploratory four-finger configuration could not be evaluated under the session-held-out protocol, because the middle finger was recorded only in the offline session (Section 4.2).</w:t>
      </w:r>
    </w:p>
    <w:p>
      <w:pPr>
        <w:pStyle w:val="ListParagraph"/>
        <w:numPr>
          <w:ilvl w:val="0"/>
          <w:numId w:val="2"/>
        </w:numPr>
        <w:spacing w:after="40" w:line="240"/>
        <w:jc w:val="both"/>
      </w:pPr>
      <w:r>
        <w:rPr>
          <w:rFonts w:ascii="Times New Roman" w:cs="Times New Roman" w:eastAsia="Times New Roman" w:hAnsi="Times New Roman"/>
          <w:sz w:val="20"/>
          <w:szCs w:val="20"/>
        </w:rPr>
        <w:t xml:space="preserve">The web demo serves the baseline flagship models, not the pretrained versions, and its finger models are single-seed, 25-epoch runs on subject S01 only. The Signal tab shows only stored traces. Band power, amplitude and signal quality are not measured.</w:t>
      </w:r>
    </w:p>
    <w:p>
      <w:pPr>
        <w:pStyle w:val="Heading1"/>
        <w:keepNext/>
        <w:spacing w:after="80" w:before="200"/>
        <w:jc w:val="center"/>
      </w:pPr>
      <w:r>
        <w:rPr>
          <w:rFonts w:ascii="Times New Roman" w:cs="Times New Roman" w:eastAsia="Times New Roman" w:hAnsi="Times New Roman"/>
          <w:smallCaps/>
          <w:sz w:val="20"/>
          <w:szCs w:val="20"/>
        </w:rPr>
        <w:t xml:space="preserve">10. Future Work</w:t>
      </w:r>
    </w:p>
    <w:p>
      <w:pPr>
        <w:pStyle w:val="ListParagraph"/>
        <w:numPr>
          <w:ilvl w:val="0"/>
          <w:numId w:val="2"/>
        </w:numPr>
        <w:spacing w:after="40" w:line="240"/>
        <w:jc w:val="both"/>
      </w:pPr>
      <w:r>
        <w:rPr>
          <w:rFonts w:ascii="Times New Roman" w:cs="Times New Roman" w:eastAsia="Times New Roman" w:hAnsi="Times New Roman"/>
          <w:sz w:val="20"/>
          <w:szCs w:val="20"/>
        </w:rPr>
        <w:t xml:space="preserve">Extend the finger-level track beyond subject S01 (more subjects, with cross-subject pretraining); a four-finger evaluation would need a different protocol, for example a held-out part of the offline session.</w:t>
      </w:r>
    </w:p>
    <w:p>
      <w:pPr>
        <w:pStyle w:val="ListParagraph"/>
        <w:numPr>
          <w:ilvl w:val="0"/>
          <w:numId w:val="2"/>
        </w:numPr>
        <w:spacing w:after="40" w:line="240"/>
        <w:jc w:val="both"/>
      </w:pPr>
      <w:r>
        <w:rPr>
          <w:rFonts w:ascii="Times New Roman" w:cs="Times New Roman" w:eastAsia="Times New Roman" w:hAnsi="Times New Roman"/>
          <w:sz w:val="20"/>
          <w:szCs w:val="20"/>
        </w:rPr>
        <w:t xml:space="preserve">Repeat the window-length ablation on more subjects (the four-subject pilot was inconclusive).</w:t>
      </w:r>
    </w:p>
    <w:p>
      <w:pPr>
        <w:pStyle w:val="ListParagraph"/>
        <w:numPr>
          <w:ilvl w:val="0"/>
          <w:numId w:val="2"/>
        </w:numPr>
        <w:spacing w:after="40" w:line="240"/>
        <w:jc w:val="both"/>
      </w:pPr>
      <w:r>
        <w:rPr>
          <w:rFonts w:ascii="Times New Roman" w:cs="Times New Roman" w:eastAsia="Times New Roman" w:hAnsi="Times New Roman"/>
          <w:sz w:val="20"/>
          <w:szCs w:val="20"/>
        </w:rPr>
        <w:t xml:space="preserve">Evaluate more subjects and held-out trials per condition so that the Task A pretraining gain (+8.3 points in both modes, Section 7) can be confirmed or excluded, and test whether per-run channel standardization or a sensorimotor channel subset helps the weakest subjects.</w:t>
      </w:r>
    </w:p>
    <w:p>
      <w:pPr>
        <w:pStyle w:val="ListParagraph"/>
        <w:numPr>
          <w:ilvl w:val="0"/>
          <w:numId w:val="2"/>
        </w:numPr>
        <w:spacing w:after="40" w:line="240"/>
        <w:jc w:val="both"/>
      </w:pPr>
      <w:r>
        <w:rPr>
          <w:rFonts w:ascii="Times New Roman" w:cs="Times New Roman" w:eastAsia="Times New Roman" w:hAnsi="Times New Roman"/>
          <w:sz w:val="20"/>
          <w:szCs w:val="20"/>
        </w:rPr>
        <w:t xml:space="preserve">Full redesign of the Decode Console user interface.</w:t>
      </w:r>
    </w:p>
    <w:p>
      <w:pPr>
        <w:pStyle w:val="ListParagraph"/>
        <w:numPr>
          <w:ilvl w:val="0"/>
          <w:numId w:val="2"/>
        </w:numPr>
        <w:spacing w:after="40" w:line="240"/>
        <w:jc w:val="both"/>
      </w:pPr>
      <w:r>
        <w:rPr>
          <w:rFonts w:ascii="Times New Roman" w:cs="Times New Roman" w:eastAsia="Times New Roman" w:hAnsi="Times New Roman"/>
          <w:sz w:val="20"/>
          <w:szCs w:val="20"/>
        </w:rPr>
        <w:t xml:space="preserve">Support multiple, flexible EEG input methods and data sources.</w:t>
      </w:r>
    </w:p>
    <w:p>
      <w:pPr>
        <w:pStyle w:val="ListParagraph"/>
        <w:numPr>
          <w:ilvl w:val="0"/>
          <w:numId w:val="2"/>
        </w:numPr>
        <w:spacing w:after="40" w:line="240"/>
        <w:jc w:val="both"/>
      </w:pPr>
      <w:r>
        <w:rPr>
          <w:rFonts w:ascii="Times New Roman" w:cs="Times New Roman" w:eastAsia="Times New Roman" w:hAnsi="Times New Roman"/>
          <w:sz w:val="20"/>
          <w:szCs w:val="20"/>
        </w:rPr>
        <w:t xml:space="preserve">Revisit guardrail and observability mechanisms (confidence thresholds, structured output validation, decode logging) appropriate to a software-only deployment.</w:t>
      </w:r>
    </w:p>
    <w:p>
      <w:pPr>
        <w:pStyle w:val="Heading1"/>
        <w:keepNext/>
        <w:spacing w:after="80" w:before="200"/>
        <w:jc w:val="center"/>
      </w:pPr>
      <w:r>
        <w:rPr>
          <w:rFonts w:ascii="Times New Roman" w:cs="Times New Roman" w:eastAsia="Times New Roman" w:hAnsi="Times New Roman"/>
          <w:smallCaps/>
          <w:sz w:val="20"/>
          <w:szCs w:val="20"/>
        </w:rPr>
        <w:t xml:space="preserve">11. Conclusion</w:t>
      </w:r>
    </w:p>
    <w:p>
      <w:pPr>
        <w:spacing w:after="80" w:line="240"/>
        <w:ind w:firstLine="200"/>
        <w:jc w:val="both"/>
      </w:pPr>
      <w:r>
        <w:rPr>
          <w:rFonts w:ascii="Times New Roman" w:cs="Times New Roman" w:eastAsia="Times New Roman" w:hAnsi="Times New Roman"/>
          <w:sz w:val="20"/>
          <w:szCs w:val="20"/>
        </w:rPr>
        <w:t xml:space="preserve">NeuroBot shows that we can build and train an EEG decoding pipeline ourselves, without an external API, and that it decodes coarse limb-level motor intention well above chance. With cross-subject pretraining the group-mean trial-level accuracy is 70–87% (chance 33%), and individual subjects reach 100%. Without pretraining, under the same protocol, it is 62–79%, and the gain is significant only for Task B executed movement. A single-subject finger-level pilot reaches 79.9% for two fingers and 44.6% for three fingers on executed movement. The development history matters as much as the final numbers. Each iteration in Section 6 answered a specific problem in the one before, and each architectural change, most of all the TCFormer pooling correction, was tested before we adopted it. The trained models are served by a software-only three-tier application. Next we want to bring the same care to the finger-level task and to a more complete software product.</w:t>
      </w:r>
    </w:p>
    <w:p>
      <w:pPr>
        <w:pStyle w:val="Heading1"/>
        <w:keepNext/>
        <w:spacing w:after="80" w:before="200"/>
        <w:jc w:val="center"/>
      </w:pPr>
      <w:r>
        <w:rPr>
          <w:rFonts w:ascii="Times New Roman" w:cs="Times New Roman" w:eastAsia="Times New Roman" w:hAnsi="Times New Roman"/>
          <w:smallCaps/>
          <w:sz w:val="20"/>
          <w:szCs w:val="20"/>
        </w:rPr>
        <w:t xml:space="preserve">Acknowledgment</w:t>
      </w:r>
    </w:p>
    <w:p>
      <w:pPr>
        <w:spacing w:after="60"/>
        <w:jc w:val="both"/>
      </w:pPr>
      <w:r>
        <w:rPr>
          <w:rFonts w:ascii="Times New Roman" w:cs="Times New Roman" w:eastAsia="Times New Roman" w:hAnsi="Times New Roman"/>
          <w:sz w:val="20"/>
          <w:szCs w:val="20"/>
        </w:rPr>
        <w:t xml:space="preserve">The authors used an AI assistant (Anthropic’s Claude) to help draft and edit text, write and review code, and format this report. The authors designed the experiments, ran all training on Kaggle, and checked the results, references and claims, and take full responsibility for the content.</w:t>
      </w:r>
    </w:p>
    <w:p>
      <w:pPr>
        <w:pStyle w:val="Heading1"/>
        <w:keepNext/>
        <w:spacing w:after="80" w:before="200"/>
        <w:jc w:val="center"/>
      </w:pPr>
      <w:r>
        <w:rPr>
          <w:rFonts w:ascii="Times New Roman" w:cs="Times New Roman" w:eastAsia="Times New Roman" w:hAnsi="Times New Roman"/>
          <w:smallCaps/>
          <w:sz w:val="20"/>
          <w:szCs w:val="20"/>
        </w:rPr>
        <w:t xml:space="preserve">References</w:t>
      </w:r>
    </w:p>
    <w:p>
      <w:pPr>
        <w:tabs>
          <w:tab w:val="left" w:pos="360"/>
        </w:tabs>
        <w:spacing w:after="30" w:line="220"/>
        <w:ind w:left="360" w:hanging="360"/>
        <w:jc w:val="both"/>
      </w:pPr>
      <w:r>
        <w:rPr>
          <w:rFonts w:ascii="Times New Roman" w:cs="Times New Roman" w:eastAsia="Times New Roman" w:hAnsi="Times New Roman"/>
          <w:sz w:val="16"/>
          <w:szCs w:val="16"/>
        </w:rPr>
        <w:t xml:space="preserve">[1]	Y. Ding, C. Udompanyawit, Y. Zhang, and B. He, “EEG-based brain-computer interface enables real-time robotic hand control at individual finger level,” </w:t>
      </w:r>
      <w:r>
        <w:rPr>
          <w:rFonts w:ascii="Times New Roman" w:cs="Times New Roman" w:eastAsia="Times New Roman" w:hAnsi="Times New Roman"/>
          <w:i/>
          <w:iCs/>
          <w:sz w:val="16"/>
          <w:szCs w:val="16"/>
        </w:rPr>
        <w:t xml:space="preserve">Nature Communications</w:t>
      </w:r>
      <w:r>
        <w:rPr>
          <w:rFonts w:ascii="Times New Roman" w:cs="Times New Roman" w:eastAsia="Times New Roman" w:hAnsi="Times New Roman"/>
          <w:sz w:val="16"/>
          <w:szCs w:val="16"/>
        </w:rPr>
        <w:t xml:space="preserve">, vol. 16, p. 5401, 2025, doi: 10.1038/s41467-025-61064-x.</w:t>
      </w:r>
    </w:p>
    <w:p>
      <w:pPr>
        <w:tabs>
          <w:tab w:val="left" w:pos="360"/>
        </w:tabs>
        <w:spacing w:after="30" w:line="220"/>
        <w:ind w:left="360" w:hanging="360"/>
        <w:jc w:val="both"/>
      </w:pPr>
      <w:r>
        <w:rPr>
          <w:rFonts w:ascii="Times New Roman" w:cs="Times New Roman" w:eastAsia="Times New Roman" w:hAnsi="Times New Roman"/>
          <w:sz w:val="16"/>
          <w:szCs w:val="16"/>
        </w:rPr>
        <w:t xml:space="preserve">[2]	A. L. Goldberger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“PhysioBank, PhysioToolkit, and PhysioNet: Components of a new research resource for complex physiologic signals,” </w:t>
      </w:r>
      <w:r>
        <w:rPr>
          <w:rFonts w:ascii="Times New Roman" w:cs="Times New Roman" w:eastAsia="Times New Roman" w:hAnsi="Times New Roman"/>
          <w:i/>
          <w:iCs/>
          <w:sz w:val="16"/>
          <w:szCs w:val="16"/>
        </w:rPr>
        <w:t xml:space="preserve">Circulation</w:t>
      </w:r>
      <w:r>
        <w:rPr>
          <w:rFonts w:ascii="Times New Roman" w:cs="Times New Roman" w:eastAsia="Times New Roman" w:hAnsi="Times New Roman"/>
          <w:sz w:val="16"/>
          <w:szCs w:val="16"/>
        </w:rPr>
        <w:t xml:space="preserve">, vol. 101, no. 23, pp. e215–e220, 2000.</w:t>
      </w:r>
    </w:p>
    <w:p>
      <w:pPr>
        <w:tabs>
          <w:tab w:val="left" w:pos="360"/>
        </w:tabs>
        <w:spacing w:after="30" w:line="220"/>
        <w:ind w:left="360" w:hanging="360"/>
        <w:jc w:val="both"/>
      </w:pPr>
      <w:r>
        <w:rPr>
          <w:rFonts w:ascii="Times New Roman" w:cs="Times New Roman" w:eastAsia="Times New Roman" w:hAnsi="Times New Roman"/>
          <w:sz w:val="16"/>
          <w:szCs w:val="16"/>
        </w:rPr>
        <w:t xml:space="preserve">[3]	G. Schalk, D. J. McFarland, T. Hinterberger, N. Birbaumer, and J. R. Wolpaw, “BCI2000: A general-purpose brain-computer interface (BCI) system,” </w:t>
      </w:r>
      <w:r>
        <w:rPr>
          <w:rFonts w:ascii="Times New Roman" w:cs="Times New Roman" w:eastAsia="Times New Roman" w:hAnsi="Times New Roman"/>
          <w:i/>
          <w:iCs/>
          <w:sz w:val="16"/>
          <w:szCs w:val="16"/>
        </w:rPr>
        <w:t xml:space="preserve">IEEE Trans. Biomed. Eng.</w:t>
      </w:r>
      <w:r>
        <w:rPr>
          <w:rFonts w:ascii="Times New Roman" w:cs="Times New Roman" w:eastAsia="Times New Roman" w:hAnsi="Times New Roman"/>
          <w:sz w:val="16"/>
          <w:szCs w:val="16"/>
        </w:rPr>
        <w:t xml:space="preserve">, vol. 51, no. 6, pp. 1034–1043, Jun. 2004, doi: 10.1109/TBME.2004.827072.</w:t>
      </w:r>
    </w:p>
    <w:p>
      <w:pPr>
        <w:tabs>
          <w:tab w:val="left" w:pos="360"/>
        </w:tabs>
        <w:spacing w:after="30" w:line="220"/>
        <w:ind w:left="360" w:hanging="360"/>
        <w:jc w:val="both"/>
      </w:pPr>
      <w:r>
        <w:rPr>
          <w:rFonts w:ascii="Times New Roman" w:cs="Times New Roman" w:eastAsia="Times New Roman" w:hAnsi="Times New Roman"/>
          <w:sz w:val="16"/>
          <w:szCs w:val="16"/>
        </w:rPr>
        <w:t xml:space="preserve">[4]	V. J. Lawhern, A. J. Solon, N. R. Waytowich, S. M. Gordon, C. P. Hung, and B. J. Lance, “EEGNet: A compact convolutional neural network for EEG-based brain-computer interfaces,” </w:t>
      </w:r>
      <w:r>
        <w:rPr>
          <w:rFonts w:ascii="Times New Roman" w:cs="Times New Roman" w:eastAsia="Times New Roman" w:hAnsi="Times New Roman"/>
          <w:i/>
          <w:iCs/>
          <w:sz w:val="16"/>
          <w:szCs w:val="16"/>
        </w:rPr>
        <w:t xml:space="preserve">J. Neural Eng.</w:t>
      </w:r>
      <w:r>
        <w:rPr>
          <w:rFonts w:ascii="Times New Roman" w:cs="Times New Roman" w:eastAsia="Times New Roman" w:hAnsi="Times New Roman"/>
          <w:sz w:val="16"/>
          <w:szCs w:val="16"/>
        </w:rPr>
        <w:t xml:space="preserve">, vol. 15, no. 5, p. 056013, 2018, doi: 10.1088/1741-2552/aace8c.</w:t>
      </w:r>
    </w:p>
    <w:p>
      <w:pPr>
        <w:tabs>
          <w:tab w:val="left" w:pos="360"/>
        </w:tabs>
        <w:spacing w:after="30" w:line="220"/>
        <w:ind w:left="360" w:hanging="360"/>
        <w:jc w:val="both"/>
      </w:pPr>
      <w:r>
        <w:rPr>
          <w:rFonts w:ascii="Times New Roman" w:cs="Times New Roman" w:eastAsia="Times New Roman" w:hAnsi="Times New Roman"/>
          <w:sz w:val="16"/>
          <w:szCs w:val="16"/>
        </w:rPr>
        <w:t xml:space="preserve">[5]	H. Altaheri, F. Karray, and A.-H. Karimi, “Temporal convolutional transformer for EEG based motor imagery decoding,” </w:t>
      </w:r>
      <w:r>
        <w:rPr>
          <w:rFonts w:ascii="Times New Roman" w:cs="Times New Roman" w:eastAsia="Times New Roman" w:hAnsi="Times New Roman"/>
          <w:i/>
          <w:iCs/>
          <w:sz w:val="16"/>
          <w:szCs w:val="16"/>
        </w:rPr>
        <w:t xml:space="preserve">Scientific Reports</w:t>
      </w:r>
      <w:r>
        <w:rPr>
          <w:rFonts w:ascii="Times New Roman" w:cs="Times New Roman" w:eastAsia="Times New Roman" w:hAnsi="Times New Roman"/>
          <w:sz w:val="16"/>
          <w:szCs w:val="16"/>
        </w:rPr>
        <w:t xml:space="preserve">, vol. 15, 2025, doi: 10.1038/s41598-025-16219-7.</w:t>
      </w:r>
    </w:p>
    <w:p>
      <w:pPr>
        <w:tabs>
          <w:tab w:val="left" w:pos="360"/>
        </w:tabs>
        <w:spacing w:after="30" w:line="220"/>
        <w:ind w:left="360" w:hanging="360"/>
        <w:jc w:val="both"/>
      </w:pPr>
      <w:r>
        <w:rPr>
          <w:rFonts w:ascii="Times New Roman" w:cs="Times New Roman" w:eastAsia="Times New Roman" w:hAnsi="Times New Roman"/>
          <w:sz w:val="16"/>
          <w:szCs w:val="16"/>
        </w:rPr>
        <w:t xml:space="preserve">[6]	B. Aristimunha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“Braindecode: Toolbox for decoding raw electrophysiological brain data with deep learning models,” Zenodo, 2025, doi: 10.5281/zenodo.17699192.</w:t>
      </w:r>
    </w:p>
    <w:p>
      <w:pPr>
        <w:tabs>
          <w:tab w:val="left" w:pos="360"/>
        </w:tabs>
        <w:spacing w:after="30" w:line="220"/>
        <w:ind w:left="360" w:hanging="360"/>
        <w:jc w:val="both"/>
      </w:pPr>
      <w:r>
        <w:rPr>
          <w:rFonts w:ascii="Times New Roman" w:cs="Times New Roman" w:eastAsia="Times New Roman" w:hAnsi="Times New Roman"/>
          <w:sz w:val="16"/>
          <w:szCs w:val="16"/>
        </w:rPr>
        <w:t xml:space="preserve">[7]	Y. Ding, C. Udompanyawit, Y. Zhang, and B. He, “EEG-BCI dataset for real-time robotic hand control at individual finger level,” KiltHub, Carnegie Mellon University, 2025, doi: 10.1184/R1/29104040.</w:t>
      </w:r>
    </w:p>
    <w:p>
      <w:pPr>
        <w:tabs>
          <w:tab w:val="left" w:pos="360"/>
        </w:tabs>
        <w:spacing w:after="30" w:line="220"/>
        <w:ind w:left="360" w:hanging="360"/>
        <w:jc w:val="both"/>
      </w:pPr>
      <w:r>
        <w:rPr>
          <w:rFonts w:ascii="Times New Roman" w:cs="Times New Roman" w:eastAsia="Times New Roman" w:hAnsi="Times New Roman"/>
          <w:sz w:val="16"/>
          <w:szCs w:val="16"/>
        </w:rPr>
        <w:t xml:space="preserve">[8]	J. R. Wolpaw, N. Birbaumer, D. J. McFarland, G. Pfurtscheller, and T. M. Vaughan, “Brain–computer interfaces for communication and control,” </w:t>
      </w:r>
      <w:r>
        <w:rPr>
          <w:rFonts w:ascii="Times New Roman" w:cs="Times New Roman" w:eastAsia="Times New Roman" w:hAnsi="Times New Roman"/>
          <w:i/>
          <w:iCs/>
          <w:sz w:val="16"/>
          <w:szCs w:val="16"/>
        </w:rPr>
        <w:t xml:space="preserve">Clin. Neurophysiol.</w:t>
      </w:r>
      <w:r>
        <w:rPr>
          <w:rFonts w:ascii="Times New Roman" w:cs="Times New Roman" w:eastAsia="Times New Roman" w:hAnsi="Times New Roman"/>
          <w:sz w:val="16"/>
          <w:szCs w:val="16"/>
        </w:rPr>
        <w:t xml:space="preserve">, vol. 113, no. 6, pp. 767–791, 2002.</w:t>
      </w:r>
    </w:p>
    <w:p>
      <w:pPr>
        <w:tabs>
          <w:tab w:val="left" w:pos="360"/>
        </w:tabs>
        <w:spacing w:after="30" w:line="220"/>
        <w:ind w:left="360" w:hanging="360"/>
        <w:jc w:val="both"/>
      </w:pPr>
      <w:r>
        <w:rPr>
          <w:rFonts w:ascii="Times New Roman" w:cs="Times New Roman" w:eastAsia="Times New Roman" w:hAnsi="Times New Roman"/>
          <w:sz w:val="16"/>
          <w:szCs w:val="16"/>
        </w:rPr>
        <w:t xml:space="preserve">[9]	G. Pfurtscheller and F. H. Lopes da Silva, “Event-related EEG/MEG synchronization and desynchronization: Basic principles,” </w:t>
      </w:r>
      <w:r>
        <w:rPr>
          <w:rFonts w:ascii="Times New Roman" w:cs="Times New Roman" w:eastAsia="Times New Roman" w:hAnsi="Times New Roman"/>
          <w:i/>
          <w:iCs/>
          <w:sz w:val="16"/>
          <w:szCs w:val="16"/>
        </w:rPr>
        <w:t xml:space="preserve">Clin. Neurophysiol.</w:t>
      </w:r>
      <w:r>
        <w:rPr>
          <w:rFonts w:ascii="Times New Roman" w:cs="Times New Roman" w:eastAsia="Times New Roman" w:hAnsi="Times New Roman"/>
          <w:sz w:val="16"/>
          <w:szCs w:val="16"/>
        </w:rPr>
        <w:t xml:space="preserve">, vol. 110, no. 11, pp. 1842–1857, 1999.</w:t>
      </w:r>
    </w:p>
    <w:p>
      <w:pPr>
        <w:tabs>
          <w:tab w:val="left" w:pos="360"/>
        </w:tabs>
        <w:spacing w:after="30" w:line="220"/>
        <w:ind w:left="360" w:hanging="360"/>
        <w:jc w:val="both"/>
      </w:pPr>
      <w:r>
        <w:rPr>
          <w:rFonts w:ascii="Times New Roman" w:cs="Times New Roman" w:eastAsia="Times New Roman" w:hAnsi="Times New Roman"/>
          <w:sz w:val="16"/>
          <w:szCs w:val="16"/>
        </w:rPr>
        <w:t xml:space="preserve">[10]	G. Pfurtscheller and C. Neuper, “Motor imagery and direct brain–computer communication,” </w:t>
      </w:r>
      <w:r>
        <w:rPr>
          <w:rFonts w:ascii="Times New Roman" w:cs="Times New Roman" w:eastAsia="Times New Roman" w:hAnsi="Times New Roman"/>
          <w:i/>
          <w:iCs/>
          <w:sz w:val="16"/>
          <w:szCs w:val="16"/>
        </w:rPr>
        <w:t xml:space="preserve">Proc. IEEE</w:t>
      </w:r>
      <w:r>
        <w:rPr>
          <w:rFonts w:ascii="Times New Roman" w:cs="Times New Roman" w:eastAsia="Times New Roman" w:hAnsi="Times New Roman"/>
          <w:sz w:val="16"/>
          <w:szCs w:val="16"/>
        </w:rPr>
        <w:t xml:space="preserve">, vol. 89, no. 7, pp. 1123–1134, Jul. 2001.</w:t>
      </w:r>
    </w:p>
    <w:p>
      <w:pPr>
        <w:tabs>
          <w:tab w:val="left" w:pos="360"/>
        </w:tabs>
        <w:spacing w:after="30" w:line="220"/>
        <w:ind w:left="360" w:hanging="360"/>
        <w:jc w:val="both"/>
      </w:pPr>
      <w:r>
        <w:rPr>
          <w:rFonts w:ascii="Times New Roman" w:cs="Times New Roman" w:eastAsia="Times New Roman" w:hAnsi="Times New Roman"/>
          <w:sz w:val="16"/>
          <w:szCs w:val="16"/>
        </w:rPr>
        <w:t xml:space="preserve">[11]	F. Lotte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“A review of classification algorithms for EEG-based brain–computer interfaces: A 10 year update,” </w:t>
      </w:r>
      <w:r>
        <w:rPr>
          <w:rFonts w:ascii="Times New Roman" w:cs="Times New Roman" w:eastAsia="Times New Roman" w:hAnsi="Times New Roman"/>
          <w:i/>
          <w:iCs/>
          <w:sz w:val="16"/>
          <w:szCs w:val="16"/>
        </w:rPr>
        <w:t xml:space="preserve">J. Neural Eng.</w:t>
      </w:r>
      <w:r>
        <w:rPr>
          <w:rFonts w:ascii="Times New Roman" w:cs="Times New Roman" w:eastAsia="Times New Roman" w:hAnsi="Times New Roman"/>
          <w:sz w:val="16"/>
          <w:szCs w:val="16"/>
        </w:rPr>
        <w:t xml:space="preserve">, vol. 15, no. 3, Art. no. 031005, 2018.</w:t>
      </w:r>
    </w:p>
    <w:p>
      <w:pPr>
        <w:tabs>
          <w:tab w:val="left" w:pos="360"/>
        </w:tabs>
        <w:spacing w:after="30" w:line="220"/>
        <w:ind w:left="360" w:hanging="360"/>
        <w:jc w:val="both"/>
      </w:pPr>
      <w:r>
        <w:rPr>
          <w:rFonts w:ascii="Times New Roman" w:cs="Times New Roman" w:eastAsia="Times New Roman" w:hAnsi="Times New Roman"/>
          <w:sz w:val="16"/>
          <w:szCs w:val="16"/>
        </w:rPr>
        <w:t xml:space="preserve">[12]	Y. Roy, H. Banville, I. Albuquerque, A. Gramfort, T. H. Falk, and J. Faubert, “Deep learning-based electroencephalography analysis: A systematic review,” </w:t>
      </w:r>
      <w:r>
        <w:rPr>
          <w:rFonts w:ascii="Times New Roman" w:cs="Times New Roman" w:eastAsia="Times New Roman" w:hAnsi="Times New Roman"/>
          <w:i/>
          <w:iCs/>
          <w:sz w:val="16"/>
          <w:szCs w:val="16"/>
        </w:rPr>
        <w:t xml:space="preserve">J. Neural Eng.</w:t>
      </w:r>
      <w:r>
        <w:rPr>
          <w:rFonts w:ascii="Times New Roman" w:cs="Times New Roman" w:eastAsia="Times New Roman" w:hAnsi="Times New Roman"/>
          <w:sz w:val="16"/>
          <w:szCs w:val="16"/>
        </w:rPr>
        <w:t xml:space="preserve">, vol. 16, no. 5, Art. no. 051001, 2019.</w:t>
      </w:r>
    </w:p>
    <w:p>
      <w:pPr>
        <w:tabs>
          <w:tab w:val="left" w:pos="360"/>
        </w:tabs>
        <w:spacing w:after="30" w:line="220"/>
        <w:ind w:left="360" w:hanging="360"/>
        <w:jc w:val="both"/>
      </w:pPr>
      <w:r>
        <w:rPr>
          <w:rFonts w:ascii="Times New Roman" w:cs="Times New Roman" w:eastAsia="Times New Roman" w:hAnsi="Times New Roman"/>
          <w:sz w:val="16"/>
          <w:szCs w:val="16"/>
        </w:rPr>
        <w:t xml:space="preserve">[13]	A. Craik, Y. He, and J. L. Contreras-Vidal, “Deep learning for electroencephalogram (EEG) classification tasks: A review,” </w:t>
      </w:r>
      <w:r>
        <w:rPr>
          <w:rFonts w:ascii="Times New Roman" w:cs="Times New Roman" w:eastAsia="Times New Roman" w:hAnsi="Times New Roman"/>
          <w:i/>
          <w:iCs/>
          <w:sz w:val="16"/>
          <w:szCs w:val="16"/>
        </w:rPr>
        <w:t xml:space="preserve">J. Neural Eng.</w:t>
      </w:r>
      <w:r>
        <w:rPr>
          <w:rFonts w:ascii="Times New Roman" w:cs="Times New Roman" w:eastAsia="Times New Roman" w:hAnsi="Times New Roman"/>
          <w:sz w:val="16"/>
          <w:szCs w:val="16"/>
        </w:rPr>
        <w:t xml:space="preserve">, vol. 16, no. 3, Art. no. 031001, 2019.</w:t>
      </w:r>
    </w:p>
    <w:p>
      <w:pPr>
        <w:tabs>
          <w:tab w:val="left" w:pos="360"/>
        </w:tabs>
        <w:spacing w:after="30" w:line="220"/>
        <w:ind w:left="360" w:hanging="360"/>
        <w:jc w:val="both"/>
      </w:pPr>
      <w:r>
        <w:rPr>
          <w:rFonts w:ascii="Times New Roman" w:cs="Times New Roman" w:eastAsia="Times New Roman" w:hAnsi="Times New Roman"/>
          <w:sz w:val="16"/>
          <w:szCs w:val="16"/>
        </w:rPr>
        <w:t xml:space="preserve">[14]	R. T. Schirrmeister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“Deep learning with convolutional neural networks for EEG decoding and visualization,” </w:t>
      </w:r>
      <w:r>
        <w:rPr>
          <w:rFonts w:ascii="Times New Roman" w:cs="Times New Roman" w:eastAsia="Times New Roman" w:hAnsi="Times New Roman"/>
          <w:i/>
          <w:iCs/>
          <w:sz w:val="16"/>
          <w:szCs w:val="16"/>
        </w:rPr>
        <w:t xml:space="preserve">Human Brain Mapping</w:t>
      </w:r>
      <w:r>
        <w:rPr>
          <w:rFonts w:ascii="Times New Roman" w:cs="Times New Roman" w:eastAsia="Times New Roman" w:hAnsi="Times New Roman"/>
          <w:sz w:val="16"/>
          <w:szCs w:val="16"/>
        </w:rPr>
        <w:t xml:space="preserve">, vol. 38, no. 11, pp. 5391–5420, 2017.</w:t>
      </w:r>
    </w:p>
    <w:p>
      <w:pPr>
        <w:tabs>
          <w:tab w:val="left" w:pos="360"/>
        </w:tabs>
        <w:spacing w:after="30" w:line="220"/>
        <w:ind w:left="360" w:hanging="360"/>
        <w:jc w:val="both"/>
      </w:pPr>
      <w:r>
        <w:rPr>
          <w:rFonts w:ascii="Times New Roman" w:cs="Times New Roman" w:eastAsia="Times New Roman" w:hAnsi="Times New Roman"/>
          <w:sz w:val="16"/>
          <w:szCs w:val="16"/>
        </w:rPr>
        <w:t xml:space="preserve">[15]	A. Vaswani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“Attention is all you need,” in </w:t>
      </w:r>
      <w:r>
        <w:rPr>
          <w:rFonts w:ascii="Times New Roman" w:cs="Times New Roman" w:eastAsia="Times New Roman" w:hAnsi="Times New Roman"/>
          <w:i/>
          <w:iCs/>
          <w:sz w:val="16"/>
          <w:szCs w:val="16"/>
        </w:rPr>
        <w:t xml:space="preserve">Proc. Adv. Neural Inf. Process. Syst. (NeurIPS)</w:t>
      </w:r>
      <w:r>
        <w:rPr>
          <w:rFonts w:ascii="Times New Roman" w:cs="Times New Roman" w:eastAsia="Times New Roman" w:hAnsi="Times New Roman"/>
          <w:sz w:val="16"/>
          <w:szCs w:val="16"/>
        </w:rPr>
        <w:t xml:space="preserve">, vol. 30, 2017, pp. 5998–6008.</w:t>
      </w:r>
    </w:p>
    <w:p>
      <w:pPr>
        <w:tabs>
          <w:tab w:val="left" w:pos="360"/>
        </w:tabs>
        <w:spacing w:after="30" w:line="220"/>
        <w:ind w:left="360" w:hanging="360"/>
        <w:jc w:val="both"/>
      </w:pPr>
      <w:r>
        <w:rPr>
          <w:rFonts w:ascii="Times New Roman" w:cs="Times New Roman" w:eastAsia="Times New Roman" w:hAnsi="Times New Roman"/>
          <w:sz w:val="16"/>
          <w:szCs w:val="16"/>
        </w:rPr>
        <w:t xml:space="preserve">[16]	Y. Song, Q. Zheng, B. Liu, and X. Gao, “EEG Conformer: Convolutional transformer for EEG decoding and visualization,” </w:t>
      </w:r>
      <w:r>
        <w:rPr>
          <w:rFonts w:ascii="Times New Roman" w:cs="Times New Roman" w:eastAsia="Times New Roman" w:hAnsi="Times New Roman"/>
          <w:i/>
          <w:iCs/>
          <w:sz w:val="16"/>
          <w:szCs w:val="16"/>
        </w:rPr>
        <w:t xml:space="preserve">IEEE Trans. Neural Syst. Rehabil. Eng.</w:t>
      </w:r>
      <w:r>
        <w:rPr>
          <w:rFonts w:ascii="Times New Roman" w:cs="Times New Roman" w:eastAsia="Times New Roman" w:hAnsi="Times New Roman"/>
          <w:sz w:val="16"/>
          <w:szCs w:val="16"/>
        </w:rPr>
        <w:t xml:space="preserve">, vol. 31, pp. 710–719, 2023, doi: 10.1109/TNSRE.2022.3230250.</w:t>
      </w:r>
    </w:p>
    <w:p>
      <w:pPr>
        <w:tabs>
          <w:tab w:val="left" w:pos="360"/>
        </w:tabs>
        <w:spacing w:after="30" w:line="220"/>
        <w:ind w:left="360" w:hanging="360"/>
        <w:jc w:val="both"/>
      </w:pPr>
      <w:r>
        <w:rPr>
          <w:rFonts w:ascii="Times New Roman" w:cs="Times New Roman" w:eastAsia="Times New Roman" w:hAnsi="Times New Roman"/>
          <w:sz w:val="16"/>
          <w:szCs w:val="16"/>
        </w:rPr>
        <w:t xml:space="preserve">[17]	J. Ainslie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“GQA: Training generalized multi-query transformer models from multi-head checkpoints,” arXiv:2305.13245, 2023.</w:t>
      </w:r>
    </w:p>
    <w:p>
      <w:pPr>
        <w:tabs>
          <w:tab w:val="left" w:pos="360"/>
        </w:tabs>
        <w:spacing w:after="30" w:line="220"/>
        <w:ind w:left="360" w:hanging="360"/>
        <w:jc w:val="both"/>
      </w:pPr>
      <w:r>
        <w:rPr>
          <w:rFonts w:ascii="Times New Roman" w:cs="Times New Roman" w:eastAsia="Times New Roman" w:hAnsi="Times New Roman"/>
          <w:sz w:val="16"/>
          <w:szCs w:val="16"/>
        </w:rPr>
        <w:t xml:space="preserve">[18]	J. Su, M. Ahmed, Y. Lu, S. Pan, W. Bo, and Y. Liu, “RoFormer: Enhanced transformer with rotary position embedding,” </w:t>
      </w:r>
      <w:r>
        <w:rPr>
          <w:rFonts w:ascii="Times New Roman" w:cs="Times New Roman" w:eastAsia="Times New Roman" w:hAnsi="Times New Roman"/>
          <w:i/>
          <w:iCs/>
          <w:sz w:val="16"/>
          <w:szCs w:val="16"/>
        </w:rPr>
        <w:t xml:space="preserve">Neurocomputing</w:t>
      </w:r>
      <w:r>
        <w:rPr>
          <w:rFonts w:ascii="Times New Roman" w:cs="Times New Roman" w:eastAsia="Times New Roman" w:hAnsi="Times New Roman"/>
          <w:sz w:val="16"/>
          <w:szCs w:val="16"/>
        </w:rPr>
        <w:t xml:space="preserve">, vol. 568, Art. no. 127063, 2024.</w:t>
      </w:r>
    </w:p>
    <w:p>
      <w:pPr>
        <w:tabs>
          <w:tab w:val="left" w:pos="360"/>
        </w:tabs>
        <w:spacing w:after="30" w:line="220"/>
        <w:ind w:left="360" w:hanging="360"/>
        <w:jc w:val="both"/>
      </w:pPr>
      <w:r>
        <w:rPr>
          <w:rFonts w:ascii="Times New Roman" w:cs="Times New Roman" w:eastAsia="Times New Roman" w:hAnsi="Times New Roman"/>
          <w:sz w:val="16"/>
          <w:szCs w:val="16"/>
        </w:rPr>
        <w:t xml:space="preserve">[19]	S. Bai, J. Z. Kolter, and V. Koltun, “An empirical evaluation of generic convolutional and recurrent networks for sequence modeling,” arXiv:1803.01271, 2018.</w:t>
      </w:r>
    </w:p>
    <w:p>
      <w:pPr>
        <w:tabs>
          <w:tab w:val="left" w:pos="360"/>
        </w:tabs>
        <w:spacing w:after="30" w:line="220"/>
        <w:ind w:left="360" w:hanging="360"/>
        <w:jc w:val="both"/>
      </w:pPr>
      <w:r>
        <w:rPr>
          <w:rFonts w:ascii="Times New Roman" w:cs="Times New Roman" w:eastAsia="Times New Roman" w:hAnsi="Times New Roman"/>
          <w:sz w:val="16"/>
          <w:szCs w:val="16"/>
        </w:rPr>
        <w:t xml:space="preserve">[20]	B. J. Edelman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“Noninvasive neuroimaging enhances continuous neural tracking for robotic device control,” </w:t>
      </w:r>
      <w:r>
        <w:rPr>
          <w:rFonts w:ascii="Times New Roman" w:cs="Times New Roman" w:eastAsia="Times New Roman" w:hAnsi="Times New Roman"/>
          <w:i/>
          <w:iCs/>
          <w:sz w:val="16"/>
          <w:szCs w:val="16"/>
        </w:rPr>
        <w:t xml:space="preserve">Sci. Robot.</w:t>
      </w:r>
      <w:r>
        <w:rPr>
          <w:rFonts w:ascii="Times New Roman" w:cs="Times New Roman" w:eastAsia="Times New Roman" w:hAnsi="Times New Roman"/>
          <w:sz w:val="16"/>
          <w:szCs w:val="16"/>
        </w:rPr>
        <w:t xml:space="preserve">, vol. 4, no. 31, Art. no. eaaw6844, 2019.</w:t>
      </w:r>
    </w:p>
    <w:p>
      <w:pPr>
        <w:tabs>
          <w:tab w:val="left" w:pos="360"/>
        </w:tabs>
        <w:spacing w:after="30" w:line="220"/>
        <w:ind w:left="360" w:hanging="360"/>
        <w:jc w:val="both"/>
      </w:pPr>
      <w:r>
        <w:rPr>
          <w:rFonts w:ascii="Times New Roman" w:cs="Times New Roman" w:eastAsia="Times New Roman" w:hAnsi="Times New Roman"/>
          <w:sz w:val="16"/>
          <w:szCs w:val="16"/>
        </w:rPr>
        <w:t xml:space="preserve">[21]	D. P. Kingma and J. Ba, “Adam: A method for stochastic optimization,” in </w:t>
      </w:r>
      <w:r>
        <w:rPr>
          <w:rFonts w:ascii="Times New Roman" w:cs="Times New Roman" w:eastAsia="Times New Roman" w:hAnsi="Times New Roman"/>
          <w:i/>
          <w:iCs/>
          <w:sz w:val="16"/>
          <w:szCs w:val="16"/>
        </w:rPr>
        <w:t xml:space="preserve">Proc. Int. Conf. Learn. Represent. (ICLR)</w:t>
      </w:r>
      <w:r>
        <w:rPr>
          <w:rFonts w:ascii="Times New Roman" w:cs="Times New Roman" w:eastAsia="Times New Roman" w:hAnsi="Times New Roman"/>
          <w:sz w:val="16"/>
          <w:szCs w:val="16"/>
        </w:rPr>
        <w:t xml:space="preserve">, 2015.</w:t>
      </w:r>
    </w:p>
    <w:p>
      <w:pPr>
        <w:tabs>
          <w:tab w:val="left" w:pos="360"/>
        </w:tabs>
        <w:spacing w:after="30" w:line="220"/>
        <w:ind w:left="360" w:hanging="360"/>
        <w:jc w:val="both"/>
      </w:pPr>
      <w:r>
        <w:rPr>
          <w:rFonts w:ascii="Times New Roman" w:cs="Times New Roman" w:eastAsia="Times New Roman" w:hAnsi="Times New Roman"/>
          <w:sz w:val="16"/>
          <w:szCs w:val="16"/>
        </w:rPr>
        <w:t xml:space="preserve">[22]	I. Loshchilov and F. Hutter, “Decoupled weight decay regularization,” in </w:t>
      </w:r>
      <w:r>
        <w:rPr>
          <w:rFonts w:ascii="Times New Roman" w:cs="Times New Roman" w:eastAsia="Times New Roman" w:hAnsi="Times New Roman"/>
          <w:i/>
          <w:iCs/>
          <w:sz w:val="16"/>
          <w:szCs w:val="16"/>
        </w:rPr>
        <w:t xml:space="preserve">Proc. Int. Conf. Learn. Represent. (ICLR)</w:t>
      </w:r>
      <w:r>
        <w:rPr>
          <w:rFonts w:ascii="Times New Roman" w:cs="Times New Roman" w:eastAsia="Times New Roman" w:hAnsi="Times New Roman"/>
          <w:sz w:val="16"/>
          <w:szCs w:val="16"/>
        </w:rPr>
        <w:t xml:space="preserve">, 2019.</w:t>
      </w:r>
    </w:p>
    <w:p>
      <w:pPr>
        <w:tabs>
          <w:tab w:val="left" w:pos="360"/>
        </w:tabs>
        <w:spacing w:after="30" w:line="220"/>
        <w:ind w:left="360" w:hanging="360"/>
        <w:jc w:val="both"/>
      </w:pPr>
      <w:r>
        <w:rPr>
          <w:rFonts w:ascii="Times New Roman" w:cs="Times New Roman" w:eastAsia="Times New Roman" w:hAnsi="Times New Roman"/>
          <w:sz w:val="16"/>
          <w:szCs w:val="16"/>
        </w:rPr>
        <w:t xml:space="preserve">[23]	I. Loshchilov and F. Hutter, “SGDR: Stochastic gradient descent with warm restarts,” in </w:t>
      </w:r>
      <w:r>
        <w:rPr>
          <w:rFonts w:ascii="Times New Roman" w:cs="Times New Roman" w:eastAsia="Times New Roman" w:hAnsi="Times New Roman"/>
          <w:i/>
          <w:iCs/>
          <w:sz w:val="16"/>
          <w:szCs w:val="16"/>
        </w:rPr>
        <w:t xml:space="preserve">Proc. Int. Conf. Learn. Represent. (ICLR)</w:t>
      </w:r>
      <w:r>
        <w:rPr>
          <w:rFonts w:ascii="Times New Roman" w:cs="Times New Roman" w:eastAsia="Times New Roman" w:hAnsi="Times New Roman"/>
          <w:sz w:val="16"/>
          <w:szCs w:val="16"/>
        </w:rPr>
        <w:t xml:space="preserve">, 2017.</w:t>
      </w:r>
    </w:p>
    <w:p>
      <w:pPr>
        <w:tabs>
          <w:tab w:val="left" w:pos="360"/>
        </w:tabs>
        <w:spacing w:after="30" w:line="220"/>
        <w:ind w:left="360" w:hanging="360"/>
        <w:jc w:val="both"/>
      </w:pPr>
      <w:r>
        <w:rPr>
          <w:rFonts w:ascii="Times New Roman" w:cs="Times New Roman" w:eastAsia="Times New Roman" w:hAnsi="Times New Roman"/>
          <w:sz w:val="16"/>
          <w:szCs w:val="16"/>
        </w:rPr>
        <w:t xml:space="preserve">[24]	C. Szegedy, V. Vanhoucke, S. Ioffe, J. Shlens, and Z. Wojna, “Rethinking the Inception architecture for computer vision,” in </w:t>
      </w:r>
      <w:r>
        <w:rPr>
          <w:rFonts w:ascii="Times New Roman" w:cs="Times New Roman" w:eastAsia="Times New Roman" w:hAnsi="Times New Roman"/>
          <w:i/>
          <w:iCs/>
          <w:sz w:val="16"/>
          <w:szCs w:val="16"/>
        </w:rPr>
        <w:t xml:space="preserve">Proc. IEEE Conf. Comput. Vis. Pattern Recognit. (CVPR)</w:t>
      </w:r>
      <w:r>
        <w:rPr>
          <w:rFonts w:ascii="Times New Roman" w:cs="Times New Roman" w:eastAsia="Times New Roman" w:hAnsi="Times New Roman"/>
          <w:sz w:val="16"/>
          <w:szCs w:val="16"/>
        </w:rPr>
        <w:t xml:space="preserve">, 2016, pp. 2818–2826.</w:t>
      </w:r>
    </w:p>
    <w:p>
      <w:pPr>
        <w:tabs>
          <w:tab w:val="left" w:pos="360"/>
        </w:tabs>
        <w:spacing w:after="30" w:line="220"/>
        <w:ind w:left="360" w:hanging="360"/>
        <w:jc w:val="both"/>
      </w:pPr>
      <w:r>
        <w:rPr>
          <w:rFonts w:ascii="Times New Roman" w:cs="Times New Roman" w:eastAsia="Times New Roman" w:hAnsi="Times New Roman"/>
          <w:sz w:val="16"/>
          <w:szCs w:val="16"/>
        </w:rPr>
        <w:t xml:space="preserve">[25]	A. Paszke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“PyTorch: An imperative style, high-performance deep learning library,” in </w:t>
      </w:r>
      <w:r>
        <w:rPr>
          <w:rFonts w:ascii="Times New Roman" w:cs="Times New Roman" w:eastAsia="Times New Roman" w:hAnsi="Times New Roman"/>
          <w:i/>
          <w:iCs/>
          <w:sz w:val="16"/>
          <w:szCs w:val="16"/>
        </w:rPr>
        <w:t xml:space="preserve">Proc. Adv. Neural Inf. Process. Syst. (NeurIPS)</w:t>
      </w:r>
      <w:r>
        <w:rPr>
          <w:rFonts w:ascii="Times New Roman" w:cs="Times New Roman" w:eastAsia="Times New Roman" w:hAnsi="Times New Roman"/>
          <w:sz w:val="16"/>
          <w:szCs w:val="16"/>
        </w:rPr>
        <w:t xml:space="preserve">, vol. 32, 2019, pp. 8024–8035.</w:t>
      </w:r>
    </w:p>
    <w:p>
      <w:pPr>
        <w:tabs>
          <w:tab w:val="left" w:pos="360"/>
        </w:tabs>
        <w:spacing w:after="30" w:line="220"/>
        <w:ind w:left="360" w:hanging="360"/>
        <w:jc w:val="both"/>
      </w:pPr>
      <w:r>
        <w:rPr>
          <w:rFonts w:ascii="Times New Roman" w:cs="Times New Roman" w:eastAsia="Times New Roman" w:hAnsi="Times New Roman"/>
          <w:sz w:val="16"/>
          <w:szCs w:val="16"/>
        </w:rPr>
        <w:t xml:space="preserve">[26]	A. Gramfort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“MEG and EEG data analysis with MNE-Python,” </w:t>
      </w:r>
      <w:r>
        <w:rPr>
          <w:rFonts w:ascii="Times New Roman" w:cs="Times New Roman" w:eastAsia="Times New Roman" w:hAnsi="Times New Roman"/>
          <w:i/>
          <w:iCs/>
          <w:sz w:val="16"/>
          <w:szCs w:val="16"/>
        </w:rPr>
        <w:t xml:space="preserve">Front. Neurosci.</w:t>
      </w:r>
      <w:r>
        <w:rPr>
          <w:rFonts w:ascii="Times New Roman" w:cs="Times New Roman" w:eastAsia="Times New Roman" w:hAnsi="Times New Roman"/>
          <w:sz w:val="16"/>
          <w:szCs w:val="16"/>
        </w:rPr>
        <w:t xml:space="preserve">, vol. 7, Art. no. 267, 2013.</w:t>
      </w:r>
    </w:p>
    <w:p>
      <w:pPr>
        <w:tabs>
          <w:tab w:val="left" w:pos="360"/>
        </w:tabs>
        <w:spacing w:after="30" w:line="220"/>
        <w:ind w:left="360" w:hanging="360"/>
        <w:jc w:val="both"/>
      </w:pPr>
      <w:r>
        <w:rPr>
          <w:rFonts w:ascii="Times New Roman" w:cs="Times New Roman" w:eastAsia="Times New Roman" w:hAnsi="Times New Roman"/>
          <w:sz w:val="16"/>
          <w:szCs w:val="16"/>
        </w:rPr>
        <w:t xml:space="preserve">[27]	K. Zhang, G. Xu, X. Zheng, H. Li, S. Zhang, Y. Yu, and R. Liang, “Application of transfer learning in EEG decoding based on brain–computer interfaces: A review,” </w:t>
      </w:r>
      <w:r>
        <w:rPr>
          <w:rFonts w:ascii="Times New Roman" w:cs="Times New Roman" w:eastAsia="Times New Roman" w:hAnsi="Times New Roman"/>
          <w:i/>
          <w:iCs/>
          <w:sz w:val="16"/>
          <w:szCs w:val="16"/>
        </w:rPr>
        <w:t xml:space="preserve">Sensors</w:t>
      </w:r>
      <w:r>
        <w:rPr>
          <w:rFonts w:ascii="Times New Roman" w:cs="Times New Roman" w:eastAsia="Times New Roman" w:hAnsi="Times New Roman"/>
          <w:sz w:val="16"/>
          <w:szCs w:val="16"/>
        </w:rPr>
        <w:t xml:space="preserve">, vol. 20, no. 21, Art. no. 6321, 2020, doi: 10.3390/s20216321.</w:t>
      </w:r>
    </w:p>
    <w:p>
      <w:pPr>
        <w:tabs>
          <w:tab w:val="left" w:pos="360"/>
        </w:tabs>
        <w:spacing w:after="30" w:line="220"/>
        <w:ind w:left="360" w:hanging="360"/>
        <w:jc w:val="both"/>
      </w:pPr>
      <w:r>
        <w:rPr>
          <w:rFonts w:ascii="Times New Roman" w:cs="Times New Roman" w:eastAsia="Times New Roman" w:hAnsi="Times New Roman"/>
          <w:sz w:val="16"/>
          <w:szCs w:val="16"/>
        </w:rPr>
        <w:t xml:space="preserve">[28]	G. Brookshire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“Data leakage in deep learning studies of translational EEG,” </w:t>
      </w:r>
      <w:r>
        <w:rPr>
          <w:rFonts w:ascii="Times New Roman" w:cs="Times New Roman" w:eastAsia="Times New Roman" w:hAnsi="Times New Roman"/>
          <w:i/>
          <w:iCs/>
          <w:sz w:val="16"/>
          <w:szCs w:val="16"/>
        </w:rPr>
        <w:t xml:space="preserve">Front. Neurosci.</w:t>
      </w:r>
      <w:r>
        <w:rPr>
          <w:rFonts w:ascii="Times New Roman" w:cs="Times New Roman" w:eastAsia="Times New Roman" w:hAnsi="Times New Roman"/>
          <w:sz w:val="16"/>
          <w:szCs w:val="16"/>
        </w:rPr>
        <w:t xml:space="preserve">, vol. 18, Art. no. 1373515, 2024, doi: 10.3389/fnins.2024.1373515.</w:t>
      </w:r>
    </w:p>
    <w:p>
      <w:pPr>
        <w:tabs>
          <w:tab w:val="left" w:pos="360"/>
        </w:tabs>
        <w:spacing w:after="30" w:line="220"/>
        <w:ind w:left="360" w:hanging="360"/>
        <w:jc w:val="both"/>
      </w:pPr>
      <w:r>
        <w:rPr>
          <w:rFonts w:ascii="Times New Roman" w:cs="Times New Roman" w:eastAsia="Times New Roman" w:hAnsi="Times New Roman"/>
          <w:sz w:val="16"/>
          <w:szCs w:val="16"/>
        </w:rPr>
        <w:t xml:space="preserve">[29]	E. B. Wilson, “Probable inference, the law of succession, and statistical inference,” </w:t>
      </w:r>
      <w:r>
        <w:rPr>
          <w:rFonts w:ascii="Times New Roman" w:cs="Times New Roman" w:eastAsia="Times New Roman" w:hAnsi="Times New Roman"/>
          <w:i/>
          <w:iCs/>
          <w:sz w:val="16"/>
          <w:szCs w:val="16"/>
        </w:rPr>
        <w:t xml:space="preserve">J. Amer. Statist. Assoc.</w:t>
      </w:r>
      <w:r>
        <w:rPr>
          <w:rFonts w:ascii="Times New Roman" w:cs="Times New Roman" w:eastAsia="Times New Roman" w:hAnsi="Times New Roman"/>
          <w:sz w:val="16"/>
          <w:szCs w:val="16"/>
        </w:rPr>
        <w:t xml:space="preserve">, vol. 22, no. 158, pp. 209–212, 1927, doi: 10.1080/01621459.1927.10502953.</w:t>
      </w:r>
    </w:p>
    <w:sectPr>
      <w:footerReference w:type="default" r:id="rId10"/>
      <w:type w:val="continuous"/>
      <w:pgSz w:w="12240" w:h="15840" w:orient="portrait"/>
      <w:pgMar w:top="1080" w:right="900" w:bottom="1200" w:left="900" w:header="500" w:footer="500"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Times New Roman" w:cs="Times New Roman" w:eastAsia="Times New Roman" w:hAnsi="Times New Roman"/>
      <w:smallCaps/>
      <w:sz w:val="20"/>
      <w:szCs w:val="20"/>
    </w:rPr>
  </w:style>
  <w:style w:type="paragraph" w:styleId="Heading2">
    <w:name w:val="Heading 2"/>
    <w:basedOn w:val="Normal"/>
    <w:next w:val="Normal"/>
    <w:qFormat/>
    <w:pPr>
      <w:spacing w:after="60" w:before="120"/>
      <w:outlineLvl w:val="1"/>
    </w:pPr>
    <w:rPr>
      <w:rFonts w:ascii="Times New Roman" w:cs="Times New Roman" w:eastAsia="Times New Roman" w:hAnsi="Times New Roman"/>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d846c048ab319d639c5ae5a00a0f7ffe21f93483.png"/><Relationship Id="rId12" Type="http://schemas.openxmlformats.org/officeDocument/2006/relationships/image" Target="media/9e6b783d74968743aa7d77fa00c8f1ee53f378d1.png"/><Relationship Id="rId13" Type="http://schemas.openxmlformats.org/officeDocument/2006/relationships/image" Target="media/9d08a29751992875f350c33212515704b606ee45.png"/><Relationship Id="rId14" Type="http://schemas.openxmlformats.org/officeDocument/2006/relationships/image" Target="media/97752a498b040a798c9998a590f70d1d1adba91d.png"/><Relationship Id="rId15" Type="http://schemas.openxmlformats.org/officeDocument/2006/relationships/image" Target="media/efd3ec3704ec710a18cd8f968ea3387361f10442.png"/><Relationship Id="rId16" Type="http://schemas.openxmlformats.org/officeDocument/2006/relationships/image" Target="media/a35b220b4dc799a79bed71628003a23204c76537.png"/><Relationship Id="rId17" Type="http://schemas.openxmlformats.org/officeDocument/2006/relationships/image" Target="media/8e5fcac85aaf0c23f706ad53276c62b5050f6b9b.png"/><Relationship Id="rId18" Type="http://schemas.openxmlformats.org/officeDocument/2006/relationships/image" Target="media/ee678336c754d3df76f6641d611fb8f67d497439.png"/><Relationship Id="rId19" Type="http://schemas.openxmlformats.org/officeDocument/2006/relationships/image" Target="media/33376407d727212c888bce2651b964cc6ff4d288.png"/><Relationship Id="rId20" Type="http://schemas.openxmlformats.org/officeDocument/2006/relationships/image" Target="media/79db144e3126d1b486168f72244a31ee5a6ae300.png"/><Relationship Id="rId21" Type="http://schemas.openxmlformats.org/officeDocument/2006/relationships/image" Target="media/361caf350c24ea4ebbac3043dc8f7fab9ebbc443.png"/><Relationship Id="rId22" Type="http://schemas.openxmlformats.org/officeDocument/2006/relationships/image" Target="media/e2888113f763c4dee97ea5ab3e1300a5fbf59483.png"/><Relationship Id="rId23" Type="http://schemas.openxmlformats.org/officeDocument/2006/relationships/image" Target="media/21c3bcb190fccc55994a111070694c3ec476923b.png"/><Relationship Id="rId24" Type="http://schemas.openxmlformats.org/officeDocument/2006/relationships/image" Target="media/b031b801359814c6f86fddbcb0ffa98826c3ede9.png"/><Relationship Id="rId25" Type="http://schemas.openxmlformats.org/officeDocument/2006/relationships/image" Target="media/5998f3d3817a0ea06fca448ae0f84d9e8713f4ad.png"/><Relationship Id="rId26" Type="http://schemas.openxmlformats.org/officeDocument/2006/relationships/image" Target="media/4ec2649f7996123cbd47c6f4a6f3e8a50f39b434.png"/><Relationship Id="rId27" Type="http://schemas.openxmlformats.org/officeDocument/2006/relationships/image" Target="media/d506281f073d5ee1ddc3b87e382fdd50c226fda1.png"/><Relationship Id="rId28" Type="http://schemas.openxmlformats.org/officeDocument/2006/relationships/image" Target="media/6130c5792e8118c44317558473aa9ef50a966353.jpg"/><Relationship Id="rId29" Type="http://schemas.openxmlformats.org/officeDocument/2006/relationships/image" Target="media/7e54c211940118524b79e19214310fa3e4d76480.png"/><Relationship Id="rId32" Type="http://schemas.openxmlformats.org/officeDocument/2006/relationships/fontTable" Target="fontTable.xml"/><Relationship Id="rId100" Type="http://schemas.openxmlformats.org/officeDocument/2006/relationships/image" Target="media/fig4_new.jpg"/><Relationship Id="rId101" Type="http://schemas.openxmlformats.org/officeDocument/2006/relationships/image" Target="media/fig5_new.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NeuroBot: An EEG-Based Deep Learning Pipeline for Movement- and Finger-Level Intention Decoding and Deployment</dc:title>
  <dc:creator>NeuroBot Team</dc:creator>
  <cp:lastModifiedBy>Un-named</cp:lastModifiedBy>
  <cp:revision>1</cp:revision>
  <dcterms:created xsi:type="dcterms:W3CDTF">2026-10-06T08:13:10.604Z</dcterms:created>
  <dcterms:modified xsi:type="dcterms:W3CDTF">2026-10-06T08:13:10.605Z</dcterms:modified>
</cp:coreProperties>
</file>

<file path=docProps/custom.xml><?xml version="1.0" encoding="utf-8"?>
<Properties xmlns="http://schemas.openxmlformats.org/officeDocument/2006/custom-properties" xmlns:vt="http://schemas.openxmlformats.org/officeDocument/2006/docPropsVTypes"/>
</file>