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Microservices Proof of Execution</w:t>
      </w:r>
    </w:p>
    <w:p>
      <w:r>
        <w:t>In this exercise, we created and configured two independent Spring Boot microservices for accounts and loans, running on port 8080 and 8081 respectively.</w:t>
      </w:r>
    </w:p>
    <w:p>
      <w:pPr>
        <w:pStyle w:val="Heading1"/>
      </w:pPr>
      <w:r>
        <w:t>1. Account Microservice</w:t>
      </w:r>
    </w:p>
    <w:p>
      <w:r>
        <w:t>Endpoint: http://localhost:8080/accounts/00987987973432</w:t>
      </w:r>
    </w:p>
    <w:p>
      <w:r>
        <w:t>Sample Response: { "number": "00987987973432", "type": "savings", "balance": 234343 }</w:t>
      </w:r>
    </w:p>
    <w:p>
      <w:r>
        <w:drawing>
          <wp:inline xmlns:a="http://schemas.openxmlformats.org/drawingml/2006/main" xmlns:pic="http://schemas.openxmlformats.org/drawingml/2006/picture">
            <wp:extent cx="5486400" cy="3255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screenshot_17832699354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Account microservice execution output.</w:t>
      </w:r>
    </w:p>
    <w:p>
      <w:pPr>
        <w:pStyle w:val="Heading1"/>
      </w:pPr>
      <w:r>
        <w:t>2. Loan Microservice</w:t>
      </w:r>
    </w:p>
    <w:p>
      <w:r>
        <w:t>Endpoint: http://localhost:8081/loans/H00987987972342</w:t>
      </w:r>
    </w:p>
    <w:p>
      <w:r>
        <w:t>Sample Response: { "number": "H00987987972342", "type": "car", "loan": 400000, "emi": 3258, "tenure": 18 }</w:t>
      </w:r>
    </w:p>
    <w:p>
      <w:r>
        <w:drawing>
          <wp:inline xmlns:a="http://schemas.openxmlformats.org/drawingml/2006/main" xmlns:pic="http://schemas.openxmlformats.org/drawingml/2006/picture">
            <wp:extent cx="5486400" cy="325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creenshot_17832699436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Loan microservice execution output on port 8081.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