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cefdf324d7cb49cb"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8c1b9a6a413e49e0"/>
                    <a:stretch>
                      <a:fillRect/>
                    </a:stretch>
                  </pic:blipFill>
                  <pic:spPr>
                    <a:xfrm>
                      <a:off x="0" y="0"/>
                      <a:ext cx="7560000" cy="10692000"/>
                    </a:xfrm>
                    <a:prstGeom prst="rect"/>
                  </pic:spPr>
                </pic:pic>
              </a:graphicData>
            </a:graphic>
          </wp:anchor>
        </w:drawing>
      </w:r>
    </w:p>
    <w:p>
      <w:pPr>
        <w:spacing w:before="4000"/>
      </w:pPr>
      <w:r/>
    </w:p>
    <w:p>
      <w:pPr>
        <w:spacing w:after="200"/>
        <w:ind w:left="1200" w:right="1200"/>
        <w:jc w:val="left"/>
      </w:pPr>
      <w:r>
        <w:rPr>
          <w:b/>
          <w:color w:val="1a365d"/>
          <w:sz w:val="64"/>
        </w:rPr>
        <w:t>TECHNICAL PROPOSAL</w:t>
      </w:r>
    </w:p>
    <w:p>
      <w:pPr>
        <w:spacing w:after="400"/>
        <w:ind w:left="1200" w:right="1200"/>
        <w:jc w:val="left"/>
      </w:pPr>
      <w:r>
        <w:rPr>
          <w:color w:val="4a5568"/>
          <w:sz w:val="28"/>
        </w:rPr>
        <w:t>IT Outsourcing and Staffing Services</w:t>
      </w:r>
    </w:p>
    <w:p>
      <w:pPr>
        <w:spacing w:after="2500"/>
        <w:ind w:left="1200" w:right="1200"/>
        <w:jc w:val="left"/>
      </w:pPr>
      <w:r>
        <w:rPr>
          <w:color w:val="c9a227"/>
          <w:spacing w:val="30"/>
          <w:sz w:val="24"/>
        </w:rPr>
        <w:t>TSC RFP 26-02</w:t>
      </w:r>
    </w:p>
    <w:p>
      <w:pPr>
        <w:spacing w:after="120"/>
        <w:ind w:left="1200"/>
        <w:jc w:val="left"/>
      </w:pPr>
      <w:r>
        <w:rPr>
          <w:b/>
          <w:color w:val="1a202c"/>
          <w:sz w:val="24"/>
        </w:rPr>
        <w:t>Onsite IT Advisors</w:t>
      </w:r>
    </w:p>
    <w:p>
      <w:pPr>
        <w:spacing w:after="80"/>
        <w:ind w:left="1200"/>
        <w:jc w:val="left"/>
      </w:pPr>
      <w:r>
        <w:rPr>
          <w:color w:val="718096"/>
          <w:sz w:val="20"/>
        </w:rPr>
        <w:t>12600 Deerfield Parkway, Suite 100</w:t>
      </w:r>
    </w:p>
    <w:p>
      <w:pPr>
        <w:spacing w:after="80"/>
        <w:ind w:left="1200"/>
        <w:jc w:val="left"/>
      </w:pPr>
      <w:r>
        <w:rPr>
          <w:color w:val="718096"/>
          <w:sz w:val="20"/>
        </w:rPr>
        <w:t>Alpharetta, Georgia 30004</w:t>
      </w:r>
    </w:p>
    <w:p>
      <w:pPr>
        <w:spacing w:after="80"/>
        <w:ind w:left="1200"/>
        <w:jc w:val="left"/>
      </w:pPr>
      <w:r>
        <w:rPr>
          <w:color w:val="718096"/>
          <w:sz w:val="20"/>
        </w:rPr>
        <w:t>Phone: 770-940-3445 | Email: govt@onsiteitadvisors.com</w:t>
      </w:r>
    </w:p>
    <w:p>
      <w:pPr>
        <w:ind w:left="1200"/>
        <w:jc w:val="left"/>
      </w:pPr>
      <w:r>
        <w:rPr>
          <w:color w:val="c9a227"/>
          <w:sz w:val="20"/>
        </w:rPr>
        <w:t>Submission Date: October 22, 2025</w:t>
      </w:r>
    </w:p>
    <w:p>
      <w:pPr>
        <w:sectPr>
          <w:type w:val="nextPage"/>
          <w:pgSz w:w="11906" w:h="16838"/>
          <w:pgMar w:top="0" w:right="0" w:bottom="0" w:left="0" w:header="0" w:footer="0"/>
        </w:sectPr>
      </w:pPr>
    </w:p>
    <w:p>
      <w:pPr>
        <w:spacing w:before="600" w:after="400"/>
      </w:pPr>
      <w:r>
        <w:rPr>
          <w:b/>
          <w:color w:val="1a365d"/>
          <w:sz w:val="36"/>
        </w:rPr>
        <w:t>Table of Contents</w:t>
      </w:r>
    </w:p>
    <w:p>
      <w:pPr>
        <w:spacing w:after="300"/>
      </w:pPr>
      <w:r>
        <w:rPr>
          <w:color w:val="718096"/>
          <w:sz w:val="18"/>
        </w:rPr>
        <w:t>(Right-click and select "Update Field" to refresh page numbers)</w:t>
      </w:r>
    </w:p>
    <w:p>
      <w:r>
        <w:fldChar w:fldCharType="begin"/>
      </w:r>
      <w:r>
        <w:instrText xml:space="preserve"> TOC \o "1-3" \h \z \u </w:instrText>
      </w:r>
      <w:r>
        <w:fldChar w:fldCharType="separate"/>
      </w:r>
    </w:p>
    <w:p>
      <w:pPr>
        <w:pStyle w:val="TOC1"/>
      </w:pPr>
      <w:r>
        <w:t>Cover Letter</w:t>
      </w:r>
      <w:r>
        <w:tab/>
      </w:r>
      <w:r>
        <w:t>3</w:t>
      </w:r>
    </w:p>
    <w:p>
      <w:pPr>
        <w:pStyle w:val="TOC1"/>
      </w:pPr>
      <w:r>
        <w:t>Section 1: Executive Summary</w:t>
      </w:r>
      <w:r>
        <w:tab/>
      </w:r>
      <w:r>
        <w:t>4</w:t>
      </w:r>
    </w:p>
    <w:p>
      <w:pPr>
        <w:pStyle w:val="TOC1"/>
      </w:pPr>
      <w:r>
        <w:t>Section 2: Qualifications and Experience</w:t>
      </w:r>
      <w:r>
        <w:tab/>
      </w:r>
      <w:r>
        <w:t>5</w:t>
      </w:r>
    </w:p>
    <w:p>
      <w:pPr>
        <w:pStyle w:val="TOC1"/>
      </w:pPr>
      <w:r>
        <w:t>Section 3: Service Delivery Capability</w:t>
      </w:r>
      <w:r>
        <w:tab/>
      </w:r>
      <w:r>
        <w:t>7</w:t>
      </w:r>
    </w:p>
    <w:p>
      <w:pPr>
        <w:pStyle w:val="TOC1"/>
      </w:pPr>
      <w:r>
        <w:t>Section 4: Past Performance</w:t>
      </w:r>
      <w:r>
        <w:tab/>
      </w:r>
      <w:r>
        <w:t>11</w:t>
      </w:r>
    </w:p>
    <w:p>
      <w:pPr>
        <w:pStyle w:val="TOC1"/>
      </w:pPr>
      <w:r>
        <w:t>Section 5: Staffing Plan</w:t>
      </w:r>
      <w:r>
        <w:tab/>
      </w:r>
      <w:r>
        <w:t>14</w:t>
      </w:r>
    </w:p>
    <w:p>
      <w:pPr>
        <w:pStyle w:val="TOC1"/>
      </w:pPr>
      <w:r>
        <w:t>Section 6: Delivery Schedules</w:t>
      </w:r>
      <w:r>
        <w:tab/>
      </w:r>
      <w:r>
        <w:t>16</w:t>
      </w:r>
    </w:p>
    <w:p>
      <w:pPr>
        <w:pStyle w:val="TOC1"/>
      </w:pPr>
      <w:r>
        <w:t>Section 7: Service Support Policy</w:t>
      </w:r>
      <w:r>
        <w:tab/>
      </w:r>
      <w:r>
        <w:t>17</w:t>
      </w:r>
    </w:p>
    <w:p>
      <w:pPr>
        <w:pStyle w:val="TOC1"/>
      </w:pPr>
      <w:r>
        <w:t>Section 8: Administrative Capabilities</w:t>
      </w:r>
      <w:r>
        <w:tab/>
      </w:r>
      <w:r>
        <w:t>18</w:t>
      </w:r>
    </w:p>
    <w:p>
      <w:pPr>
        <w:pStyle w:val="TOC1"/>
      </w:pPr>
      <w:r>
        <w:t>Section 9: Pricing</w:t>
      </w:r>
      <w:r>
        <w:tab/>
      </w:r>
      <w:r>
        <w:t>19</w:t>
      </w:r>
    </w:p>
    <w:p>
      <w:pPr>
        <w:pStyle w:val="TOC1"/>
      </w:pPr>
      <w:r>
        <w:t>Section 10: HUB Certification</w:t>
      </w:r>
      <w:r>
        <w:tab/>
      </w:r>
      <w:r>
        <w:t>20</w:t>
      </w:r>
    </w:p>
    <w:p>
      <w:pPr>
        <w:pStyle w:val="TOC1"/>
      </w:pPr>
      <w:r>
        <w:t>Section 11: Texas Presence</w:t>
      </w:r>
      <w:r>
        <w:tab/>
      </w:r>
      <w:r>
        <w:t>21</w:t>
      </w:r>
    </w:p>
    <w:p>
      <w:pPr>
        <w:pStyle w:val="TOC1"/>
      </w:pPr>
      <w:r>
        <w:t>References</w:t>
      </w:r>
      <w:r>
        <w:tab/>
      </w:r>
      <w:r>
        <w:t>22</w:t>
      </w:r>
    </w:p>
    <w:p>
      <w:r>
        <w:fldChar w:fldCharType="end"/>
      </w:r>
    </w:p>
    <w:p>
      <w:pPr>
        <w:sectPr>
          <w:type w:val="nextPage"/>
          <w:pgSz w:w="11906" w:h="16838"/>
          <w:pgMar w:top="1800" w:right="1440" w:bottom="1440" w:left="1440" w:header="720" w:footer="720"/>
        </w:sectPr>
      </w:pPr>
    </w:p>
    <w:p>
      <w:pPr>
        <w:pStyle w:val="Heading1"/>
      </w:pPr>
      <w:r>
        <w:t>Cover Letter</w:t>
      </w:r>
    </w:p>
    <w:p>
      <w:r>
        <w:t>Texas Southmost College</w:t>
      </w:r>
    </w:p>
    <w:p>
      <w:r>
        <w:t>Attn: Patricia G. Saldivar, Director of Purchasing</w:t>
      </w:r>
    </w:p>
    <w:p>
      <w:r>
        <w:t>Commissary Building, 80 Fort Brown</w:t>
      </w:r>
    </w:p>
    <w:p>
      <w:r>
        <w:t>Brownsville, TX 78520</w:t>
      </w:r>
    </w:p>
    <w:p>
      <w:pPr>
        <w:spacing w:before="200"/>
      </w:pPr>
      <w:r>
        <w:rPr>
          <w:b/>
        </w:rPr>
        <w:t>Subject: </w:t>
      </w:r>
      <w:r>
        <w:t>Proposal for IT Staff Augmentation Services</w:t>
      </w:r>
    </w:p>
    <w:p>
      <w:r>
        <w:t>Dear Ms. Saldivar,</w:t>
      </w:r>
    </w:p>
    <w:p>
      <w:r>
        <w:t>On behalf of Onsite IT Advisors, I am pleased to submit our proposal in response to Texas Southmost College's Request for Proposals for Information Technology (IT) Outsourcing and Staffing Services.</w:t>
      </w:r>
    </w:p>
    <w:p>
      <w:r>
        <w:t>Onsite IT Advisors brings a proven record of delivering reliable, scalable, and cost-effective IT staffing solutions. Our approach combines deep technical expertise, efficient talent acquisition processes, and a strong commitment to service excellence.</w:t>
      </w:r>
    </w:p>
    <w:p>
      <w:r>
        <w:t>We understand the importance of maintaining operational continuity and supporting TSC's strategic initiatives through responsive and qualified IT professionals. Our extensive talent network of over 20,000 pre-vetted IT specialists enables us to meet your staffing needs across key technical domains including network engineering, system administration, cybersecurity, application development, data analytics, and cloud operations.</w:t>
      </w:r>
    </w:p>
    <w:p>
      <w:r>
        <w:t>Onsite IT Advisors is committed to delivering timely, compliant, and high-quality staffing support that aligns with your institutional goals. We take pride in our ability to provide rapid response, transparent communication, and flexible engagement models that ensure consistent performance and value.</w:t>
      </w:r>
    </w:p>
    <w:p>
      <w:r>
        <w:t>We look forward to the opportunity to partner with Texas Southmost College and contribute to your continued success. Should you have any questions or require further information, please contact me directly at 770-940-3445 or govt@onsiteitadvisors.com.</w:t>
      </w:r>
    </w:p>
    <w:p>
      <w:pPr>
        <w:spacing w:before="400"/>
      </w:pPr>
      <w:r>
        <w:t>Sincerely,</w:t>
      </w:r>
    </w:p>
    <w:p>
      <w:pPr>
        <w:spacing w:before="200"/>
      </w:pPr>
      <w:r>
        <w:rPr>
          <w:b/>
        </w:rPr>
        <w:t>Seth Nachiappan</w:t>
      </w:r>
    </w:p>
    <w:p>
      <w:r>
        <w:t>President</w:t>
      </w:r>
    </w:p>
    <w:p>
      <w:r>
        <w:t>Onsite IT Advisors</w:t>
      </w:r>
    </w:p>
    <w:p>
      <w:pPr>
        <w:pStyle w:val="Heading1"/>
      </w:pPr>
      <w:r>
        <w:t>Section 1: Executive Summary</w:t>
      </w:r>
    </w:p>
    <w:p>
      <w:r>
        <w:t>Onsite IT Advisors is pleased to present this proposal to provide Information Technology Staff Augmentation Services to Texas Southmost College (TSC). Our solution is designed to deliver qualified, experienced IT professionals on an as-needed basis to support the College's operational, project-based, and strategic technology initiatives.</w:t>
      </w:r>
    </w:p>
    <w:p>
      <w:r>
        <w:t>We understand TSC's objectives: ensuring reliable IT operations, optimizing resources, and maintaining flexibility in workforce capacity. Our approach provides a comprehensive, turnkey staffing framework that enables TSC to:</w:t>
      </w:r>
    </w:p>
    <w:p>
      <w:pPr>
        <w:numPr>
          <w:ilvl w:val="0"/>
          <w:numId w:val="2"/>
        </w:numPr>
      </w:pPr>
      <w:r>
        <w:t>Rapidly deploy skilled IT professionals across key technology areas</w:t>
      </w:r>
    </w:p>
    <w:p>
      <w:pPr>
        <w:numPr>
          <w:ilvl w:val="0"/>
          <w:numId w:val="2"/>
        </w:numPr>
      </w:pPr>
      <w:r>
        <w:t>Maintain operational continuity through proactive workforce planning</w:t>
      </w:r>
    </w:p>
    <w:p>
      <w:pPr>
        <w:numPr>
          <w:ilvl w:val="0"/>
          <w:numId w:val="2"/>
        </w:numPr>
      </w:pPr>
      <w:r>
        <w:t>Scale resources to meet dynamic project demands efficiently and cost-effectively</w:t>
      </w:r>
    </w:p>
    <w:p>
      <w:pPr>
        <w:numPr>
          <w:ilvl w:val="0"/>
          <w:numId w:val="2"/>
        </w:numPr>
      </w:pPr>
      <w:r>
        <w:t>Ensure compliance with institutional policies and state procurement requirements</w:t>
      </w:r>
    </w:p>
    <w:p>
      <w:pPr>
        <w:pStyle w:val="Heading2"/>
      </w:pPr>
      <w:r>
        <w:t>1.1 Our Value Proposition</w:t>
      </w:r>
    </w:p>
    <w:p>
      <w:pPr>
        <w:numPr>
          <w:ilvl w:val="0"/>
          <w:numId w:val="2"/>
        </w:numPr>
      </w:pPr>
      <w:r>
        <w:t>Experience and Expertise: Over two decades of experience providing IT staffing and consulting services to higher education, government, and enterprise clients</w:t>
      </w:r>
    </w:p>
    <w:p>
      <w:pPr>
        <w:numPr>
          <w:ilvl w:val="0"/>
          <w:numId w:val="2"/>
        </w:numPr>
      </w:pPr>
      <w:r>
        <w:t>Extensive Talent Network: A proprietary database of over 20,000 pre-vetted professionals with certifications including Cisco, Microsoft, AWS, CompTIA, Salesforce, and Ellucian</w:t>
      </w:r>
    </w:p>
    <w:p>
      <w:pPr>
        <w:numPr>
          <w:ilvl w:val="0"/>
          <w:numId w:val="2"/>
        </w:numPr>
      </w:pPr>
      <w:r>
        <w:t>Proven Delivery Model: AI-supported candidate sourcing, rigorous multi-stage screening, and agile project management ensure rapid and high-quality placements</w:t>
      </w:r>
    </w:p>
    <w:p>
      <w:pPr>
        <w:numPr>
          <w:ilvl w:val="0"/>
          <w:numId w:val="2"/>
        </w:numPr>
      </w:pPr>
      <w:r>
        <w:t>Quality and Compliance: Comprehensive background checks, reference validation, and adherence to confidentiality, data security, and equal opportunity standards</w:t>
      </w:r>
    </w:p>
    <w:p>
      <w:pPr>
        <w:numPr>
          <w:ilvl w:val="0"/>
          <w:numId w:val="2"/>
        </w:numPr>
      </w:pPr>
      <w:r>
        <w:t>Scalability and Responsiveness: Flexible engagement models (on-site, remote, or hybrid) allow TSC to scale staffing efficiently as project and operational needs evolve</w:t>
      </w:r>
    </w:p>
    <w:p>
      <w:pPr>
        <w:pStyle w:val="Heading2"/>
      </w:pPr>
      <w:r>
        <w:t>1.2 Commitment to TSC</w:t>
      </w:r>
    </w:p>
    <w:p>
      <w:r>
        <w:t>Onsite IT Advisors is dedicated to forming a strategic partnership with TSC built on trust, accountability, and measurable performance. Our proposed team will work collaboratively with College stakeholders to ensure smooth onboarding, transparent communication, and continuous service improvement. Through this engagement, we aim to support TSC's mission by providing reliable, skilled, and responsive IT staffing services that enhance institutional efficiency and student success.</w:t>
      </w:r>
    </w:p>
    <w:p>
      <w:pPr>
        <w:pStyle w:val="Heading1"/>
      </w:pPr>
      <w:r>
        <w:t>Section 2: Qualifications and Experience</w:t>
      </w:r>
    </w:p>
    <w:p>
      <w:pPr>
        <w:pStyle w:val="Heading2"/>
      </w:pPr>
      <w:r>
        <w:t>2.1 Company Overview</w:t>
      </w:r>
    </w:p>
    <w:p>
      <w:r>
        <w:t>Onsite IT Advisors is a nationally recognized provider of information technology staffing, consulting, and managed services with more than two decades of experience supporting higher education, government, and commercial clients. Headquartered in Alpharetta, Georgia, our company specializes in delivering flexible and scalable workforce solutions that help institutions strengthen their IT capabilities, optimize costs, and accelerate digital transformation.</w:t>
      </w:r>
    </w:p>
    <w:p>
      <w:r>
        <w:t>We maintain a network of over 20,000 pre-vetted IT professionals spanning all major technical domains including network infrastructure, cloud and systems administration, cybersecurity, data analytics, ERP and CRM platforms, and enterprise application development. Our combination of human expertise and intelligent automation enables rapid placement of qualified professionals who meet both the technical and cultural needs of each client.</w:t>
      </w:r>
    </w:p>
    <w:p>
      <w:r>
        <w:t>Onsite IT Advisors is known for:</w:t>
      </w:r>
    </w:p>
    <w:p>
      <w:pPr>
        <w:numPr>
          <w:ilvl w:val="0"/>
          <w:numId w:val="2"/>
        </w:numPr>
      </w:pPr>
      <w:r>
        <w:t>Rapid Response: Average candidate turnaround within 48-72 hours</w:t>
      </w:r>
    </w:p>
    <w:p>
      <w:pPr>
        <w:numPr>
          <w:ilvl w:val="0"/>
          <w:numId w:val="2"/>
        </w:numPr>
      </w:pPr>
      <w:r>
        <w:t>Quality Assurance: 95% fill rate and 98% client satisfaction in comparable contracts</w:t>
      </w:r>
    </w:p>
    <w:p>
      <w:pPr>
        <w:numPr>
          <w:ilvl w:val="0"/>
          <w:numId w:val="2"/>
        </w:numPr>
      </w:pPr>
      <w:r>
        <w:t>Compliance and Security: All personnel undergo background checks, E-Verify validation, and adherence to FERPA, HIPAA, and NIST-aligned security practices</w:t>
      </w:r>
    </w:p>
    <w:p>
      <w:pPr>
        <w:numPr>
          <w:ilvl w:val="0"/>
          <w:numId w:val="2"/>
        </w:numPr>
      </w:pPr>
      <w:r>
        <w:t>Public-Sector Experience: Extensive history supporting state colleges, school districts, and federal agencies</w:t>
      </w:r>
    </w:p>
    <w:p>
      <w:pPr>
        <w:pStyle w:val="Heading2"/>
      </w:pPr>
      <w:r>
        <w:t>2.2 Regional Presence and Service Availability</w:t>
      </w:r>
    </w:p>
    <w:p>
      <w:r>
        <w:t>Onsite IT Advisors is headquartered in Alpharetta, Georgia, with full operational capability to support clients throughout the State of Texas through a combination of remote service delivery, on-site staffing, and rapid deployment resources.</w:t>
      </w:r>
    </w:p>
    <w:p>
      <w:r>
        <w:t>Although our principal office is located in Georgia, we maintain an established network of qualified IT professionals and partner resources across Texas, enabling us to provide timely on-site response to Texas Southmost College and surrounding regions. Our dedicated account management team and technical recruiters are available during Central Time business hours, ensuring seamless coordination, service accessibility, and compliance with all local and state requirements. Onsite IT Advisors is also evaluating the establishment of a satellite office in Texas to further strengthen our regional presence and enhance support for public sector clients statewide.</w:t>
      </w:r>
    </w:p>
    <w:p>
      <w:pPr>
        <w:pStyle w:val="Heading2"/>
      </w:pPr>
      <w:r>
        <w:t>2.3 Legal and Financial Standing</w:t>
      </w:r>
    </w:p>
    <w:p>
      <w:r>
        <w:rPr>
          <w:b/>
        </w:rPr>
        <w:t>Litigation History: </w:t>
      </w:r>
      <w:r>
        <w:t>Onsite IT Advisors confirms that the company has no active or prior litigation, contract default, or unresolved dispute related to the delivery of IT or staffing services within the past ten (10) years. We maintain long-standing relationships with our clients built on transparency and performance reliability.</w:t>
      </w:r>
    </w:p>
    <w:p>
      <w:r>
        <w:rPr>
          <w:b/>
        </w:rPr>
        <w:t>Bankruptcy Statement: </w:t>
      </w:r>
      <w:r>
        <w:t>Onsite IT Advisors certifies that it has not filed for bankruptcy, reorganization, or receivership within the past ten (10) years and remains in good financial standing with all state and federal regulatory authorities.</w:t>
      </w:r>
    </w:p>
    <w:p>
      <w:r>
        <w:rPr>
          <w:b/>
        </w:rPr>
        <w:t>Financial Stability: </w:t>
      </w:r>
      <w:r>
        <w:t>Our company is privately held, debt-free, and audited annually. We maintain sufficient working capital to support multi-year contractual commitments and meet all insurance and bonding requirements as specified in the RFP.</w:t>
      </w:r>
    </w:p>
    <w:p>
      <w:pPr>
        <w:pStyle w:val="Heading1"/>
      </w:pPr>
      <w:r>
        <w:t>Section 3: Service Delivery Capability and Methodology</w:t>
      </w:r>
    </w:p>
    <w:p>
      <w:pPr>
        <w:pStyle w:val="Heading2"/>
      </w:pPr>
      <w:r>
        <w:t>3.1 Understanding of Requirements</w:t>
      </w:r>
    </w:p>
    <w:p>
      <w:r>
        <w:t>Onsite IT Advisors fully understands that Texas Southmost College seeks a strategic partner capable of delivering qualified, dependable, and flexible IT professionals to support both day-to-day operations and long-term strategic initiatives. The College requires expertise across multiple technology domains including network engineering, cybersecurity, system administration, application development, data analytics, and web content management and expects vendors to respond promptly to fluctuating resource needs while maintaining compliance, cost-effectiveness, and operational excellence.</w:t>
      </w:r>
    </w:p>
    <w:p>
      <w:r>
        <w:t>Our approach to this engagement is designed to satisfy the following core TSC objectives:</w:t>
      </w:r>
    </w:p>
    <w:p>
      <w:pPr>
        <w:numPr>
          <w:ilvl w:val="0"/>
          <w:numId w:val="2"/>
        </w:numPr>
      </w:pPr>
      <w:r>
        <w:t>Scalability: Rapidly provide additional IT staff or specialized consultants for project-based work or coverage of critical functions</w:t>
      </w:r>
    </w:p>
    <w:p>
      <w:pPr>
        <w:numPr>
          <w:ilvl w:val="0"/>
          <w:numId w:val="2"/>
        </w:numPr>
      </w:pPr>
      <w:r>
        <w:t>Continuity of Operations: Ensure uninterrupted IT services during staffing transitions or technology upgrades</w:t>
      </w:r>
    </w:p>
    <w:p>
      <w:pPr>
        <w:numPr>
          <w:ilvl w:val="0"/>
          <w:numId w:val="2"/>
        </w:numPr>
      </w:pPr>
      <w:r>
        <w:t>Technical Expertise: Supply certified professionals proficient in current and emerging technologies such as Azure, AWS, VMware, and modern programming frameworks</w:t>
      </w:r>
    </w:p>
    <w:p>
      <w:pPr>
        <w:numPr>
          <w:ilvl w:val="0"/>
          <w:numId w:val="2"/>
        </w:numPr>
      </w:pPr>
      <w:r>
        <w:t>Institutional Alignment: Deliver personnel who understand the unique needs of academic environments, balancing innovation, accessibility, and compliance</w:t>
      </w:r>
    </w:p>
    <w:p>
      <w:pPr>
        <w:numPr>
          <w:ilvl w:val="0"/>
          <w:numId w:val="2"/>
        </w:numPr>
      </w:pPr>
      <w:r>
        <w:t>Regulatory Compliance: Maintain full adherence to FERPA, HIPAA, NIST 800-171, and Texas Education Code procurement requirements</w:t>
      </w:r>
    </w:p>
    <w:p>
      <w:pPr>
        <w:pStyle w:val="Heading2"/>
      </w:pPr>
      <w:r>
        <w:t>3.2 Service Delivery Process and Methodology</w:t>
      </w:r>
    </w:p>
    <w:p>
      <w:r>
        <w:t>Onsite IT Advisors utilizes a structured, agile-enabled service delivery model that ensures transparency, accountability, and timely execution across all staffing engagements.</w:t>
      </w:r>
    </w:p>
    <w:p>
      <w:pPr>
        <w:pStyle w:val="Heading3"/>
      </w:pPr>
      <w:r>
        <w:t>Phase 1 - Initiation and Planning</w:t>
      </w:r>
    </w:p>
    <w:p>
      <w:r>
        <w:t>Upon contract award, we conduct a kick-off meeting with TSC's designated contract administrator and IT leadership to confirm priorities, job classifications, and service levels. We establish communication protocols, reporting templates, and escalation paths within the first five days.</w:t>
      </w:r>
    </w:p>
    <w:p>
      <w:pPr>
        <w:pStyle w:val="Heading3"/>
      </w:pPr>
      <w:r>
        <w:t>Phase 2 - Resource Requisition and Fulfillment</w:t>
      </w:r>
    </w:p>
    <w:p>
      <w:r>
        <w:t>Requisitions are received through a dedicated client portal or email channel monitored by the assigned Account Manager. Within 24 hours, our recruiters begin sourcing and vetting candidates. Each requisition is tracked in our Applicant Tracking System (ATS) for full lifecycle visibility.</w:t>
      </w:r>
    </w:p>
    <w:p>
      <w:pPr>
        <w:pStyle w:val="Heading3"/>
      </w:pPr>
      <w:r>
        <w:t>Phase 3 - Candidate Submission and Selection</w:t>
      </w:r>
    </w:p>
    <w:p>
      <w:r>
        <w:t>For every open position, we deliver a shortlist of three to five top-qualified candidates within 48-72 hours for standard roles and within five to seven business days for specialized positions. Candidate packets include:</w:t>
      </w:r>
    </w:p>
    <w:p>
      <w:pPr>
        <w:numPr>
          <w:ilvl w:val="0"/>
          <w:numId w:val="2"/>
        </w:numPr>
      </w:pPr>
      <w:r>
        <w:t>Detailed resume with verified experience and certifications</w:t>
      </w:r>
    </w:p>
    <w:p>
      <w:pPr>
        <w:numPr>
          <w:ilvl w:val="0"/>
          <w:numId w:val="2"/>
        </w:numPr>
      </w:pPr>
      <w:r>
        <w:t>Skills-assessment results</w:t>
      </w:r>
    </w:p>
    <w:p>
      <w:pPr>
        <w:numPr>
          <w:ilvl w:val="0"/>
          <w:numId w:val="2"/>
        </w:numPr>
      </w:pPr>
      <w:r>
        <w:t>Background-check confirmation</w:t>
      </w:r>
    </w:p>
    <w:p>
      <w:pPr>
        <w:numPr>
          <w:ilvl w:val="0"/>
          <w:numId w:val="2"/>
        </w:numPr>
      </w:pPr>
      <w:r>
        <w:t>Availability, rate, and work-authorization details</w:t>
      </w:r>
    </w:p>
    <w:p>
      <w:pPr>
        <w:pStyle w:val="Heading3"/>
      </w:pPr>
      <w:r>
        <w:t>Phase 4 - Onboarding and Integration</w:t>
      </w:r>
    </w:p>
    <w:p>
      <w:r>
        <w:t>Once TSC selects a candidate, our HR and Compliance Team manages onboarding including E-Verify submission, background clearance, policy acknowledgments, and, if applicable, system access coordination with TSC IT Security. We provide each professional with a role-specific orientation packet outlining College expectations, communication protocols, and confidentiality standards.</w:t>
      </w:r>
    </w:p>
    <w:p>
      <w:pPr>
        <w:pStyle w:val="Heading3"/>
      </w:pPr>
      <w:r>
        <w:t>Phase 5 - Performance Management and Reporting</w:t>
      </w:r>
    </w:p>
    <w:p>
      <w:r>
        <w:t>During the engagement, we conduct regular check-ins and performance evaluations with both the assigned professional and TSC's point of contact. Monthly performance reports summarize service delivery metrics, attendance, responsiveness, and client feedback.</w:t>
      </w:r>
    </w:p>
    <w:p>
      <w:pPr>
        <w:pStyle w:val="Heading2"/>
      </w:pPr>
      <w:r>
        <w:t>3.3 Candidate Sourcing and Screening Process</w:t>
      </w:r>
    </w:p>
    <w:p>
      <w:r>
        <w:t>Our staffing methodology blends AI-driven automation with human expertise to ensure the highest match accuracy and compliance.</w:t>
      </w:r>
    </w:p>
    <w:p>
      <w:pPr>
        <w:pStyle w:val="Heading3"/>
      </w:pPr>
      <w:r>
        <w:t>1. Talent Sourcing</w:t>
      </w:r>
    </w:p>
    <w:p>
      <w:pPr>
        <w:numPr>
          <w:ilvl w:val="0"/>
          <w:numId w:val="2"/>
        </w:numPr>
      </w:pPr>
      <w:r>
        <w:t>Proprietary database of 20,000+ vetted IT professionals nationwide</w:t>
      </w:r>
    </w:p>
    <w:p>
      <w:pPr>
        <w:numPr>
          <w:ilvl w:val="0"/>
          <w:numId w:val="2"/>
        </w:numPr>
      </w:pPr>
      <w:r>
        <w:t>Direct partnerships with professional networks (LinkedIn Recruiter, Dice, TechFetch, and state HUB vendor directories)</w:t>
      </w:r>
    </w:p>
    <w:p>
      <w:pPr>
        <w:numPr>
          <w:ilvl w:val="0"/>
          <w:numId w:val="2"/>
        </w:numPr>
      </w:pPr>
      <w:r>
        <w:t>Continuous pipeline development through targeted outreach and referral programs</w:t>
      </w:r>
    </w:p>
    <w:p>
      <w:pPr>
        <w:numPr>
          <w:ilvl w:val="0"/>
          <w:numId w:val="2"/>
        </w:numPr>
      </w:pPr>
      <w:r>
        <w:t>Diversity recruitment to promote inclusion and participation of Historically Underutilized Businesses (HUB) and minority talent</w:t>
      </w:r>
    </w:p>
    <w:p>
      <w:pPr>
        <w:pStyle w:val="Heading3"/>
      </w:pPr>
      <w:r>
        <w:t>2. Pre-Screening and Qualification</w:t>
      </w:r>
    </w:p>
    <w:p>
      <w:pPr>
        <w:numPr>
          <w:ilvl w:val="0"/>
          <w:numId w:val="2"/>
        </w:numPr>
      </w:pPr>
      <w:r>
        <w:t>Initial resume vetting against defined technical and soft-skill criteria</w:t>
      </w:r>
    </w:p>
    <w:p>
      <w:pPr>
        <w:numPr>
          <w:ilvl w:val="0"/>
          <w:numId w:val="2"/>
        </w:numPr>
      </w:pPr>
      <w:r>
        <w:t>AI-assisted matching engine providing 80%+ accuracy for initial candidate ranking</w:t>
      </w:r>
    </w:p>
    <w:p>
      <w:pPr>
        <w:numPr>
          <w:ilvl w:val="0"/>
          <w:numId w:val="2"/>
        </w:numPr>
      </w:pPr>
      <w:r>
        <w:t>Verification of work authorization (E-Verify) and employment history</w:t>
      </w:r>
    </w:p>
    <w:p>
      <w:pPr>
        <w:pStyle w:val="Heading3"/>
      </w:pPr>
      <w:r>
        <w:t>3. Technical Assessment</w:t>
      </w:r>
    </w:p>
    <w:p>
      <w:pPr>
        <w:numPr>
          <w:ilvl w:val="0"/>
          <w:numId w:val="2"/>
        </w:numPr>
      </w:pPr>
      <w:r>
        <w:t>Role-specific testing via HackerRank, Codility, or internal lab assessments</w:t>
      </w:r>
    </w:p>
    <w:p>
      <w:pPr>
        <w:numPr>
          <w:ilvl w:val="0"/>
          <w:numId w:val="2"/>
        </w:numPr>
      </w:pPr>
      <w:r>
        <w:t>Scenario-based problem-solving exercises administered by our subject-matter experts</w:t>
      </w:r>
    </w:p>
    <w:p>
      <w:pPr>
        <w:numPr>
          <w:ilvl w:val="0"/>
          <w:numId w:val="2"/>
        </w:numPr>
      </w:pPr>
      <w:r>
        <w:t>For managerial or analytical roles, assessment of project-management and documentation capabilities</w:t>
      </w:r>
    </w:p>
    <w:p>
      <w:pPr>
        <w:pStyle w:val="Heading3"/>
      </w:pPr>
      <w:r>
        <w:t>4. Behavioral and Cultural Fit Interviews</w:t>
      </w:r>
    </w:p>
    <w:p>
      <w:pPr>
        <w:numPr>
          <w:ilvl w:val="0"/>
          <w:numId w:val="2"/>
        </w:numPr>
      </w:pPr>
      <w:r>
        <w:t>Conducted by senior recruiters trained in higher-education cultural alignment</w:t>
      </w:r>
    </w:p>
    <w:p>
      <w:pPr>
        <w:numPr>
          <w:ilvl w:val="0"/>
          <w:numId w:val="2"/>
        </w:numPr>
      </w:pPr>
      <w:r>
        <w:t>Evaluates communication, teamwork, and adherence to institutional values</w:t>
      </w:r>
    </w:p>
    <w:p>
      <w:pPr>
        <w:pStyle w:val="Heading3"/>
      </w:pPr>
      <w:r>
        <w:t>5. Reference and Background Verification</w:t>
      </w:r>
    </w:p>
    <w:p>
      <w:pPr>
        <w:numPr>
          <w:ilvl w:val="0"/>
          <w:numId w:val="2"/>
        </w:numPr>
      </w:pPr>
      <w:r>
        <w:t>Minimum of three professional references verified for every placement</w:t>
      </w:r>
    </w:p>
    <w:p>
      <w:pPr>
        <w:numPr>
          <w:ilvl w:val="0"/>
          <w:numId w:val="2"/>
        </w:numPr>
      </w:pPr>
      <w:r>
        <w:t>Background, drug, and education checks in accordance with TSC's security policies</w:t>
      </w:r>
    </w:p>
    <w:p>
      <w:r>
        <w:t>Only candidates who meet 100% of mandatory qualifications and pass all screening levels are presented to TSC.</w:t>
      </w:r>
    </w:p>
    <w:p>
      <w:pPr>
        <w:pStyle w:val="Heading2"/>
      </w:pPr>
      <w:r>
        <w:t>3.4 Compliance with Technical and Security Requirements</w:t>
      </w:r>
    </w:p>
    <w:p>
      <w:r>
        <w:t>Onsite IT Advisors is fully compliant with all technical, legal, and security obligations outlined in the RFP. Our compliance framework includes:</w:t>
      </w:r>
    </w:p>
    <w:p>
      <w:pPr>
        <w:numPr>
          <w:ilvl w:val="0"/>
          <w:numId w:val="2"/>
        </w:numPr>
      </w:pPr>
      <w:r>
        <w:t>Data Security and Confidentiality: All personnel sign Non-Disclosure and Confidentiality Agreements consistent with TSC's Information Security Policy and FERPA requirements</w:t>
      </w:r>
    </w:p>
    <w:p>
      <w:pPr>
        <w:numPr>
          <w:ilvl w:val="0"/>
          <w:numId w:val="2"/>
        </w:numPr>
      </w:pPr>
      <w:r>
        <w:t>Regulatory Compliance: We align with the Texas Education Code, FERPA, HIPAA, NIST SP 800-171, and state procurement standards</w:t>
      </w:r>
    </w:p>
    <w:p>
      <w:pPr>
        <w:numPr>
          <w:ilvl w:val="0"/>
          <w:numId w:val="2"/>
        </w:numPr>
      </w:pPr>
      <w:r>
        <w:t>Background and Credential Verification: Every professional assigned to TSC undergoes criminal background screening, employment verification, and E-Verify authorization</w:t>
      </w:r>
    </w:p>
    <w:p>
      <w:pPr>
        <w:numPr>
          <w:ilvl w:val="0"/>
          <w:numId w:val="2"/>
        </w:numPr>
      </w:pPr>
      <w:r>
        <w:t>System Access and Identity Management: Access credentials are provisioned under TSC's supervision</w:t>
      </w:r>
    </w:p>
    <w:p>
      <w:pPr>
        <w:numPr>
          <w:ilvl w:val="0"/>
          <w:numId w:val="2"/>
        </w:numPr>
      </w:pPr>
      <w:r>
        <w:t>Insurance and Liability Coverage: We maintain the required coverages - $1 million per occurrence / $2 million aggregate for general liability, $1 million auto liability, and statutory worker's compensation</w:t>
      </w:r>
    </w:p>
    <w:p>
      <w:pPr>
        <w:pStyle w:val="Heading2"/>
      </w:pPr>
      <w:r>
        <w:t>3.5 Quality Assurance and Performance Management</w:t>
      </w:r>
    </w:p>
    <w:p>
      <w:r>
        <w:t>Onsite IT Advisors follows a Continuous Quality Improvement (CQI) model focused on measurable performance, client feedback, and proactive oversight.</w:t>
      </w:r>
    </w:p>
    <w:p>
      <w:r>
        <w:rPr>
          <w:b/>
        </w:rPr>
        <w:t>Key Performance Indicators (KPIs):</w:t>
      </w:r>
    </w:p>
    <w:p>
      <w:pPr>
        <w:numPr>
          <w:ilvl w:val="0"/>
          <w:numId w:val="2"/>
        </w:numPr>
      </w:pPr>
      <w:r>
        <w:t>Candidate submission within 72 hours</w:t>
      </w:r>
    </w:p>
    <w:p>
      <w:pPr>
        <w:numPr>
          <w:ilvl w:val="0"/>
          <w:numId w:val="2"/>
        </w:numPr>
      </w:pPr>
      <w:r>
        <w:t>95%+ position fill rate</w:t>
      </w:r>
    </w:p>
    <w:p>
      <w:pPr>
        <w:numPr>
          <w:ilvl w:val="0"/>
          <w:numId w:val="2"/>
        </w:numPr>
      </w:pPr>
      <w:r>
        <w:t>90%+ retention for assignments over six months</w:t>
      </w:r>
    </w:p>
    <w:p>
      <w:pPr>
        <w:numPr>
          <w:ilvl w:val="0"/>
          <w:numId w:val="2"/>
        </w:numPr>
      </w:pPr>
      <w:r>
        <w:t>Client satisfaction score of 4.8/5.0 or higher</w:t>
      </w:r>
    </w:p>
    <w:p>
      <w:pPr>
        <w:numPr>
          <w:ilvl w:val="0"/>
          <w:numId w:val="2"/>
        </w:numPr>
      </w:pPr>
      <w:r>
        <w:t>Replacement of underperforming staff within 10 business days</w:t>
      </w:r>
    </w:p>
    <w:p>
      <w:pPr>
        <w:pStyle w:val="Heading2"/>
      </w:pPr>
      <w:r>
        <w:t>3.6 Administrative Support and Replacement Management</w:t>
      </w:r>
    </w:p>
    <w:p>
      <w:r>
        <w:t>Onsite IT Advisors will perform full administrative oversight and coordination for all assigned personnel in accordance with TSC RFP 26-02 requirements.</w:t>
      </w:r>
    </w:p>
    <w:p>
      <w:r>
        <w:rPr>
          <w:b/>
        </w:rPr>
        <w:t>Administrative Oversight and Supervision</w:t>
      </w:r>
    </w:p>
    <w:p>
      <w:r>
        <w:t>Our Account Manager and Project Coordinator will provide day-to-day administrative supervision of all temporary personnel assigned to TSC. We will maintain close communication with the designated TSC point of contact to ensure attendance, performance, and compliance with college policies.</w:t>
      </w:r>
    </w:p>
    <w:p>
      <w:r>
        <w:rPr>
          <w:b/>
        </w:rPr>
        <w:t>Timesheet Collection and Verification</w:t>
      </w:r>
    </w:p>
    <w:p>
      <w:r>
        <w:t>All temporary staff will submit weekly timesheets through our secure digital portal. Timesheets are reviewed and approved by both the assigned TSC supervisor and our internal payroll team. Any discrepancies are resolved within 24 hours to ensure accurate billing and reporting.</w:t>
      </w:r>
    </w:p>
    <w:p>
      <w:r>
        <w:rPr>
          <w:b/>
        </w:rPr>
        <w:t>Payroll and Invoice Reconciliation</w:t>
      </w:r>
    </w:p>
    <w:p>
      <w:r>
        <w:t>Onsite IT Advisors will handle all payroll processing, paycheck distribution, and timesheet-to-invoice reconciliation internally. Consolidated monthly invoices will be submitted to TSC with corresponding timesheet summaries for transparency and auditability.</w:t>
      </w:r>
    </w:p>
    <w:p>
      <w:r>
        <w:rPr>
          <w:b/>
        </w:rPr>
        <w:t>Turnover Monitoring and Replacement Management</w:t>
      </w:r>
    </w:p>
    <w:p>
      <w:r>
        <w:t>We continuously monitor personnel performance and retention. If TSC determines that an assigned professional is unsatisfactory or unavailable, Onsite IT Advisors will provide a qualified replacement within ten (10) business days at no additional cost. We maintain a pipeline of ready-to-deploy candidates to ensure continuity of service.</w:t>
      </w:r>
    </w:p>
    <w:p>
      <w:pPr>
        <w:pStyle w:val="Heading2"/>
      </w:pPr>
      <w:r>
        <w:t>3.7 Living Wage and Title IX Compliance</w:t>
      </w:r>
    </w:p>
    <w:p>
      <w:r>
        <w:t>Onsite IT Advisors affirms full compliance with Texas Southmost College's Living Wage Policy, ensuring that all personnel assigned under this contract will receive a wage not less than $8.50 per hour in accordance with the Board of Trustees Resolution (September 30, 2009).</w:t>
      </w:r>
    </w:p>
    <w:p>
      <w:r>
        <w:t>We also fully comply with Title IX of the Education Amendments of 1972 and all applicable federal, state, and local non-discrimination laws, including the Americans with Disabilities Act, Section 504 of the Rehabilitation Act, and Title VII of the Civil Rights Act. Onsite IT Advisors prohibits discrimination or harassment on any protected basis and will promptly report any alleged Title IX concerns to TSC's Title IX Director in accordance with college policy.</w:t>
      </w:r>
    </w:p>
    <w:p>
      <w:pPr>
        <w:pStyle w:val="Heading1"/>
      </w:pPr>
      <w:r>
        <w:t>Section 4: Relevant Experience and Past Performance</w:t>
      </w:r>
    </w:p>
    <w:p>
      <w:pPr>
        <w:pStyle w:val="Heading2"/>
      </w:pPr>
      <w:r>
        <w:t>4.1 Overview of Relevant Experience</w:t>
      </w:r>
    </w:p>
    <w:p>
      <w:r>
        <w:t>Over the past decade, Onsite IT Advisors has successfully delivered large-scale IT staff augmentation and managed services engagements to a wide range of clients, including higher education institutions, public agencies, and federal organizations. These projects demonstrate our ability to provide qualified IT professionals, maintain service continuity, and support mission-critical technology initiatives within complex environments.</w:t>
      </w:r>
    </w:p>
    <w:p>
      <w:r>
        <w:t>Our proven methodology built on quality control, governance, and client collaboration has resulted in sustained partnerships and consistently high client satisfaction. The following representative projects highlight our experience, scale, and successful delivery of services similar to those required by Texas Southmost College.</w:t>
      </w:r>
    </w:p>
    <w:p>
      <w:pPr>
        <w:pStyle w:val="Heading2"/>
      </w:pPr>
      <w:r>
        <w:t>4.2 Representative Project Summaries</w:t>
      </w:r>
    </w:p>
    <w:p>
      <w:pPr>
        <w:pStyle w:val="Heading3"/>
      </w:pPr>
      <w:r>
        <w:t>Client: Centers for Disease Control and Prevention (CDC) / Booz Allen Hamilton</w:t>
      </w:r>
    </w:p>
    <w:p>
      <w:r>
        <w:rPr>
          <w:b/>
        </w:rPr>
        <w:t>Location: </w:t>
      </w:r>
      <w:r>
        <w:t>Atlanta, GA (Hybrid / Nationwide Support)</w:t>
      </w:r>
    </w:p>
    <w:p>
      <w:r>
        <w:rPr>
          <w:b/>
        </w:rPr>
        <w:t>Project Name: </w:t>
      </w:r>
      <w:r>
        <w:t>MVPS (Message Validation, Processing, and Provisioning Service) Program</w:t>
      </w:r>
    </w:p>
    <w:p>
      <w:r>
        <w:rPr>
          <w:b/>
        </w:rPr>
        <w:t>Engagement Type: </w:t>
      </w:r>
      <w:r>
        <w:t>IT Staff Augmentation, Application Modernization, and Data Infrastructure Support</w:t>
      </w:r>
    </w:p>
    <w:p>
      <w:r>
        <w:rPr>
          <w:b/>
        </w:rPr>
        <w:t>Years of Service: </w:t>
      </w:r>
      <w:r>
        <w:t>3 Years</w:t>
      </w:r>
    </w:p>
    <w:p>
      <w:r>
        <w:rPr>
          <w:b/>
        </w:rPr>
        <w:t>Project Size: </w:t>
      </w:r>
      <w:r>
        <w:t>Multi-program national initiative, supporting seven CDC program offices across all 50 states and territories</w:t>
      </w:r>
    </w:p>
    <w:p>
      <w:r>
        <w:rPr>
          <w:b/>
        </w:rPr>
        <w:t>Scope and Responsibilities:</w:t>
      </w:r>
    </w:p>
    <w:p>
      <w:r>
        <w:t>Onsite IT Advisors supported the CDC's MVPS program, a mission-critical data processing and integration platform used by seven national programs to manage public health data. Our role included providing software engineers, data architects, and analysts to modernize legacy systems into cloud-ready, scalable architectures; implementing data ingestion pipelines to standardize incoming health data from 50+ state partners; supporting system validation, integration testing, and continuous improvement cycles under Agile frameworks; and ensuring compliance with CDC cybersecurity and HIPAA standards.</w:t>
      </w:r>
    </w:p>
    <w:p>
      <w:r>
        <w:rPr>
          <w:b/>
        </w:rPr>
        <w:t>Outcomes:</w:t>
      </w:r>
    </w:p>
    <w:p>
      <w:pPr>
        <w:numPr>
          <w:ilvl w:val="0"/>
          <w:numId w:val="2"/>
        </w:numPr>
      </w:pPr>
      <w:r>
        <w:t>Improved data delivery performance by 42%, reducing latency for cross-agency information sharing</w:t>
      </w:r>
    </w:p>
    <w:p>
      <w:pPr>
        <w:numPr>
          <w:ilvl w:val="0"/>
          <w:numId w:val="2"/>
        </w:numPr>
      </w:pPr>
      <w:r>
        <w:t>Increased system reliability through proactive monitoring and automated error detection</w:t>
      </w:r>
    </w:p>
    <w:p>
      <w:pPr>
        <w:numPr>
          <w:ilvl w:val="0"/>
          <w:numId w:val="2"/>
        </w:numPr>
      </w:pPr>
      <w:r>
        <w:t>Achieved "Exceptional" client rating in quarterly Booz Allen Hamilton vendor performance reviews</w:t>
      </w:r>
    </w:p>
    <w:p>
      <w:pPr>
        <w:pStyle w:val="Heading3"/>
      </w:pPr>
      <w:r>
        <w:t>Client: Perspecta (now Peraton Inc.)</w:t>
      </w:r>
    </w:p>
    <w:p>
      <w:r>
        <w:rPr>
          <w:b/>
        </w:rPr>
        <w:t>Location: </w:t>
      </w:r>
      <w:r>
        <w:t>Chantilly, VA (Remote)</w:t>
      </w:r>
    </w:p>
    <w:p>
      <w:r>
        <w:rPr>
          <w:b/>
        </w:rPr>
        <w:t>Project Name: </w:t>
      </w:r>
      <w:r>
        <w:t>Enterprise .NET Core Development and Support</w:t>
      </w:r>
    </w:p>
    <w:p>
      <w:r>
        <w:rPr>
          <w:b/>
        </w:rPr>
        <w:t>Engagement Type: </w:t>
      </w:r>
      <w:r>
        <w:t>Application Development and Support Staffing</w:t>
      </w:r>
    </w:p>
    <w:p>
      <w:r>
        <w:rPr>
          <w:b/>
        </w:rPr>
        <w:t>Years of Service: </w:t>
      </w:r>
      <w:r>
        <w:t>2 Years</w:t>
      </w:r>
    </w:p>
    <w:p>
      <w:r>
        <w:rPr>
          <w:b/>
        </w:rPr>
        <w:t>Project Size: </w:t>
      </w:r>
      <w:r>
        <w:t>Multi-million-dollar modernization engagement for enterprise clients</w:t>
      </w:r>
    </w:p>
    <w:p>
      <w:r>
        <w:rPr>
          <w:b/>
        </w:rPr>
        <w:t>Scope and Responsibilities:</w:t>
      </w:r>
    </w:p>
    <w:p>
      <w:r>
        <w:t>Onsite IT Advisors provided specialized technical staff including .NET Core developers, DevOps engineers, and QA analysts for Perspecta's enterprise modernization program. Services included full-stack application development in .NET Core, Angular, and Azure SQL environments; DevOps pipeline automation using Jenkins and GitHub Actions; application security compliance with NIST 800-171 standards; and integration testing, CI/CD configuration, and release management.</w:t>
      </w:r>
    </w:p>
    <w:p>
      <w:r>
        <w:rPr>
          <w:b/>
        </w:rPr>
        <w:t>Outcomes:</w:t>
      </w:r>
    </w:p>
    <w:p>
      <w:pPr>
        <w:numPr>
          <w:ilvl w:val="0"/>
          <w:numId w:val="2"/>
        </w:numPr>
      </w:pPr>
      <w:r>
        <w:t>Reduced code deployment cycle from 3 weeks to 3 days through continuous integration automation</w:t>
      </w:r>
    </w:p>
    <w:p>
      <w:pPr>
        <w:numPr>
          <w:ilvl w:val="0"/>
          <w:numId w:val="2"/>
        </w:numPr>
      </w:pPr>
      <w:r>
        <w:t>Provided full technical staffing support for 12+ concurrent applications with zero service disruptions</w:t>
      </w:r>
    </w:p>
    <w:p>
      <w:pPr>
        <w:numPr>
          <w:ilvl w:val="0"/>
          <w:numId w:val="2"/>
        </w:numPr>
      </w:pPr>
      <w:r>
        <w:t>Maintained 100% SLA compliance for all task orders</w:t>
      </w:r>
    </w:p>
    <w:p>
      <w:pPr>
        <w:pStyle w:val="Heading3"/>
      </w:pPr>
      <w:r>
        <w:t>Client: Sophron Networks LLC</w:t>
      </w:r>
    </w:p>
    <w:p>
      <w:r>
        <w:rPr>
          <w:b/>
        </w:rPr>
        <w:t>Location: </w:t>
      </w:r>
      <w:r>
        <w:t>Buford, GA (Remote / Onsite Hybrid Support)</w:t>
      </w:r>
    </w:p>
    <w:p>
      <w:r>
        <w:rPr>
          <w:b/>
        </w:rPr>
        <w:t>Project Name: </w:t>
      </w:r>
      <w:r>
        <w:t>Oracle Database Administration and Performance Optimization</w:t>
      </w:r>
    </w:p>
    <w:p>
      <w:r>
        <w:rPr>
          <w:b/>
        </w:rPr>
        <w:t>Engagement Type: </w:t>
      </w:r>
      <w:r>
        <w:t>IT Staff Augmentation and Database Management Services</w:t>
      </w:r>
    </w:p>
    <w:p>
      <w:r>
        <w:rPr>
          <w:b/>
        </w:rPr>
        <w:t>Years of Service: </w:t>
      </w:r>
      <w:r>
        <w:t>2 Years</w:t>
      </w:r>
    </w:p>
    <w:p>
      <w:r>
        <w:rPr>
          <w:b/>
        </w:rPr>
        <w:t>Project Size: </w:t>
      </w:r>
      <w:r>
        <w:t>Multi-database enterprise environment supporting multiple client applications and internal systems</w:t>
      </w:r>
    </w:p>
    <w:p>
      <w:r>
        <w:rPr>
          <w:b/>
        </w:rPr>
        <w:t>Scope and Responsibilities:</w:t>
      </w:r>
    </w:p>
    <w:p>
      <w:r>
        <w:t>Onsite IT Advisors provided specialized Oracle DBA consultants to support Sophron Networks' enterprise database operations. Our engagement focused on ensuring optimal database performance, reliability, and scalability across mission-critical systems. Specific responsibilities included delivering full-time Oracle DBA staffing to manage, monitor, and maintain production and staging environments; implementing database performance tuning, query optimization, and proactive issue resolution measures; designing and implementing backup and recovery strategies; supporting database patching, upgrades, and high-availability configurations; and providing periodic performance reports and root cause analyses under a structured Agile framework.</w:t>
      </w:r>
    </w:p>
    <w:p>
      <w:r>
        <w:rPr>
          <w:b/>
        </w:rPr>
        <w:t>Outcomes:</w:t>
      </w:r>
    </w:p>
    <w:p>
      <w:pPr>
        <w:numPr>
          <w:ilvl w:val="0"/>
          <w:numId w:val="2"/>
        </w:numPr>
      </w:pPr>
      <w:r>
        <w:t>Reduced query response times by 40%, enhancing system performance and end-user experience</w:t>
      </w:r>
    </w:p>
    <w:p>
      <w:pPr>
        <w:numPr>
          <w:ilvl w:val="0"/>
          <w:numId w:val="2"/>
        </w:numPr>
      </w:pPr>
      <w:r>
        <w:t>Achieved 99.99% database uptime through proactive monitoring and maintenance automation</w:t>
      </w:r>
    </w:p>
    <w:p>
      <w:pPr>
        <w:numPr>
          <w:ilvl w:val="0"/>
          <w:numId w:val="2"/>
        </w:numPr>
      </w:pPr>
      <w:r>
        <w:t>Improved incident response efficiency by 35% through standardized reporting and escalation protocols</w:t>
      </w:r>
    </w:p>
    <w:p>
      <w:pPr>
        <w:numPr>
          <w:ilvl w:val="0"/>
          <w:numId w:val="2"/>
        </w:numPr>
      </w:pPr>
      <w:r>
        <w:t>Maintained a long-term client partnership with ongoing support extensions due to exceptional service quality</w:t>
      </w:r>
    </w:p>
    <w:p>
      <w:pPr>
        <w:pStyle w:val="Heading2"/>
      </w:pPr>
      <w:r>
        <w:t>4.3 Demonstrated Strengths</w:t>
      </w:r>
    </w:p>
    <w:p>
      <w:r>
        <w:t>Across these engagements, Onsite IT Advisors consistently demonstrated:</w:t>
      </w:r>
    </w:p>
    <w:p>
      <w:pPr>
        <w:numPr>
          <w:ilvl w:val="0"/>
          <w:numId w:val="2"/>
        </w:numPr>
      </w:pPr>
      <w:r>
        <w:t>Rapid Deployment: Average of 72 hours to fill standard roles and 5-7 days for specialized positions</w:t>
      </w:r>
    </w:p>
    <w:p>
      <w:pPr>
        <w:numPr>
          <w:ilvl w:val="0"/>
          <w:numId w:val="2"/>
        </w:numPr>
      </w:pPr>
      <w:r>
        <w:t>Technical Excellence: Staff certified in AWS, Microsoft, Cisco, and cybersecurity frameworks</w:t>
      </w:r>
    </w:p>
    <w:p>
      <w:pPr>
        <w:numPr>
          <w:ilvl w:val="0"/>
          <w:numId w:val="2"/>
        </w:numPr>
      </w:pPr>
      <w:r>
        <w:t>Agile Delivery: Flexible engagement models supporting remote, on-site, and hybrid assignments</w:t>
      </w:r>
    </w:p>
    <w:p>
      <w:pPr>
        <w:numPr>
          <w:ilvl w:val="0"/>
          <w:numId w:val="2"/>
        </w:numPr>
      </w:pPr>
      <w:r>
        <w:t>Proven Reliability: 98% client satisfaction and 95% assignment completion rate</w:t>
      </w:r>
    </w:p>
    <w:p>
      <w:pPr>
        <w:numPr>
          <w:ilvl w:val="0"/>
          <w:numId w:val="2"/>
        </w:numPr>
      </w:pPr>
      <w:r>
        <w:t>Public Sector Familiarity: Deep understanding of government contracting, documentation standards, and procurement compliance</w:t>
      </w:r>
    </w:p>
    <w:p>
      <w:r>
        <w:t>Onsite IT Advisors' performance history demonstrates a consistent ability to deliver high-quality IT professionals, maintain operational continuity, and exceed client expectations. Our engagements across higher education, local government, and federal agencies have honed our ability to operate in secure, regulated, and multi-stakeholder environments making us an ideal partner for Texas Southmost College.</w:t>
      </w:r>
    </w:p>
    <w:p>
      <w:pPr>
        <w:pStyle w:val="Heading1"/>
      </w:pPr>
      <w:r>
        <w:t>Section 5: Staffing Plan</w:t>
      </w:r>
    </w:p>
    <w:p>
      <w:r>
        <w:t>Onsite IT Advisors maintains a structured and scalable staffing model designed to ensure timely deployment, quality performance, and continuous oversight for all personnel assigned to Texas Southmost College. Our delivery framework includes:</w:t>
      </w:r>
    </w:p>
    <w:p>
      <w:pPr>
        <w:numPr>
          <w:ilvl w:val="0"/>
          <w:numId w:val="2"/>
        </w:numPr>
      </w:pPr>
      <w:r>
        <w:t>Account Manager: Serves as the primary point of contact for TSC, overseeing all communication, performance tracking, and client satisfaction</w:t>
      </w:r>
    </w:p>
    <w:p>
      <w:pPr>
        <w:numPr>
          <w:ilvl w:val="0"/>
          <w:numId w:val="2"/>
        </w:numPr>
      </w:pPr>
      <w:r>
        <w:t>Lead Technical Recruiter: Sources and shortlists qualified candidates within 48-72 hours of requisition receipt through our AI-supported Applicant Tracking System (ATS)</w:t>
      </w:r>
    </w:p>
    <w:p>
      <w:pPr>
        <w:numPr>
          <w:ilvl w:val="0"/>
          <w:numId w:val="2"/>
        </w:numPr>
      </w:pPr>
      <w:r>
        <w:t>Subject Matter Experts (SMEs): Validate technical proficiency for each candidate across domains such as networking, cybersecurity, ERP, cloud, and application development</w:t>
      </w:r>
    </w:p>
    <w:p>
      <w:pPr>
        <w:numPr>
          <w:ilvl w:val="0"/>
          <w:numId w:val="2"/>
        </w:numPr>
      </w:pPr>
      <w:r>
        <w:t>HR &amp; Compliance Coordinator: Manages onboarding, background checks, payroll processing, timesheet verification, and compliance with all TSC policies</w:t>
      </w:r>
    </w:p>
    <w:p>
      <w:pPr>
        <w:numPr>
          <w:ilvl w:val="0"/>
          <w:numId w:val="2"/>
        </w:numPr>
      </w:pPr>
      <w:r>
        <w:t>Project Supervisor: Provides day-to-day administrative supervision, attendance monitoring, and performance feedback for deployed personnel</w:t>
      </w:r>
    </w:p>
    <w:p>
      <w:r>
        <w:t>This structure ensures seamless coordination, rapid fulfillment of staffing requests, and proactive quality management throughout the engagement. All assigned professionals undergo comprehensive screening, credential verification, and role-specific orientation before deployment. Onsite IT Advisors guarantees replacement of any personnel deemed unsatisfactory within ten (10) business days at no additional cost.</w:t>
      </w:r>
    </w:p>
    <w:p>
      <w:pPr>
        <w:pStyle w:val="Heading2"/>
      </w:pPr>
      <w:r>
        <w:t>5.1 Recruitment and Assignment Workflow</w:t>
      </w:r>
    </w:p>
    <w:p>
      <w:pPr>
        <w:numPr>
          <w:ilvl w:val="0"/>
          <w:numId w:val="1"/>
        </w:numPr>
      </w:pPr>
      <w:r>
        <w:rPr>
          <w:b/>
        </w:rPr>
        <w:t>Requisition Intake</w:t>
      </w:r>
      <w:r>
        <w:t>: TSC submits request via email or portal; Account Manager logs into ATS</w:t>
      </w:r>
    </w:p>
    <w:p>
      <w:pPr>
        <w:numPr>
          <w:ilvl w:val="0"/>
          <w:numId w:val="1"/>
        </w:numPr>
      </w:pPr>
      <w:r>
        <w:rPr>
          <w:b/>
        </w:rPr>
        <w:t>Candidate Sourcing</w:t>
      </w:r>
      <w:r>
        <w:t>: AI-assisted search through our 20,000+ professional database</w:t>
      </w:r>
    </w:p>
    <w:p>
      <w:pPr>
        <w:numPr>
          <w:ilvl w:val="0"/>
          <w:numId w:val="1"/>
        </w:numPr>
      </w:pPr>
      <w:r>
        <w:rPr>
          <w:b/>
        </w:rPr>
        <w:t>Screening and Assessment</w:t>
      </w:r>
      <w:r>
        <w:t>: Technical testing (HackerRank/Codility), behavioral interview (cultural fit for higher-education), verification of certifications and references</w:t>
      </w:r>
    </w:p>
    <w:p>
      <w:pPr>
        <w:numPr>
          <w:ilvl w:val="0"/>
          <w:numId w:val="1"/>
        </w:numPr>
      </w:pPr>
      <w:r>
        <w:rPr>
          <w:b/>
        </w:rPr>
        <w:t>Candidate Submission</w:t>
      </w:r>
      <w:r>
        <w:t>: 3-5 qualified candidates provided within 72 hours</w:t>
      </w:r>
    </w:p>
    <w:p>
      <w:pPr>
        <w:numPr>
          <w:ilvl w:val="0"/>
          <w:numId w:val="1"/>
        </w:numPr>
      </w:pPr>
      <w:r>
        <w:rPr>
          <w:b/>
        </w:rPr>
        <w:t>Selection &amp; Onboarding</w:t>
      </w:r>
      <w:r>
        <w:t>: Background check, orientation, TSC policy acknowledgment</w:t>
      </w:r>
    </w:p>
    <w:p>
      <w:pPr>
        <w:numPr>
          <w:ilvl w:val="0"/>
          <w:numId w:val="1"/>
        </w:numPr>
      </w:pPr>
      <w:r>
        <w:rPr>
          <w:b/>
        </w:rPr>
        <w:t>Performance Monitoring</w:t>
      </w:r>
      <w:r>
        <w:t>: Monthly reports, SLA tracking, 30-day and quarterly reviews</w:t>
      </w:r>
    </w:p>
    <w:p>
      <w:pPr>
        <w:numPr>
          <w:ilvl w:val="0"/>
          <w:numId w:val="1"/>
        </w:numPr>
      </w:pPr>
      <w:r>
        <w:rPr>
          <w:b/>
        </w:rPr>
        <w:t>Replacement Assurance</w:t>
      </w:r>
      <w:r>
        <w:t>: Any underperforming or unavailable staff replaced within 10 business days at no cost</w:t>
      </w:r>
    </w:p>
    <w:p>
      <w:pPr>
        <w:pStyle w:val="Heading2"/>
      </w:pPr>
      <w:r>
        <w:t>5.2 Staffing Capacity and Scalability</w:t>
      </w:r>
    </w:p>
    <w:p>
      <w:pPr>
        <w:numPr>
          <w:ilvl w:val="0"/>
          <w:numId w:val="2"/>
        </w:numPr>
      </w:pPr>
      <w:r>
        <w:t>Resource Pool Size: 20,000+ pre-vetted professionals across all U.S. regions</w:t>
      </w:r>
    </w:p>
    <w:p>
      <w:pPr>
        <w:numPr>
          <w:ilvl w:val="0"/>
          <w:numId w:val="2"/>
        </w:numPr>
      </w:pPr>
      <w:r>
        <w:t>Average Turnaround: 48-72 hours for standard roles; 5-7 days for specialized positions</w:t>
      </w:r>
    </w:p>
    <w:p>
      <w:pPr>
        <w:numPr>
          <w:ilvl w:val="0"/>
          <w:numId w:val="2"/>
        </w:numPr>
      </w:pPr>
      <w:r>
        <w:t>Engagement Models: On-site, remote, or hybrid as required by TSC</w:t>
      </w:r>
    </w:p>
    <w:p>
      <w:pPr>
        <w:numPr>
          <w:ilvl w:val="0"/>
          <w:numId w:val="2"/>
        </w:numPr>
      </w:pPr>
      <w:r>
        <w:t>Peak Demand Response: Ability to scale team size by up to 200% within 10 days through bench and affiliate network</w:t>
      </w:r>
    </w:p>
    <w:p>
      <w:pPr>
        <w:pStyle w:val="Heading2"/>
      </w:pPr>
      <w:r>
        <w:t>5.3 Role Categories and Representative Staff</w:t>
      </w:r>
    </w:p>
    <w:p>
      <w:r>
        <w:t>The following table identifies key IT categories requested by TSC:</w:t>
      </w:r>
    </w:p>
    <w:tbl>
      <w:tblPr>
        <w:tblW w:w="5000" w:type="pct"/>
        <w:tblBorders>
          <w:top w:val="single" w:color="1a365d" w:sz="12"/>
          <w:left w:val="nil"/>
          <w:bottom w:val="single" w:color="1a365d" w:sz="12"/>
          <w:right w:val="nil"/>
          <w:insideH w:val="single" w:color="cbd5e0" w:sz="4"/>
          <w:insideV w:val="nil"/>
        </w:tblBorders>
        <w:tblCellMar>
          <w:top w:w="100" w:type="dxa"/>
          <w:left w:w="150" w:type="dxa"/>
          <w:bottom w:w="100" w:type="dxa"/>
          <w:right w:w="150" w:type="dxa"/>
        </w:tblCellMar>
      </w:tblPr>
      <w:tblGrid>
        <w:gridCol w:w="2500"/>
        <w:gridCol w:w="2500"/>
        <w:gridCol w:w="1500"/>
        <w:gridCol w:w="3500"/>
      </w:tblGrid>
      <w:tr>
        <w:trPr>
          <w:tblHeader/>
          <w:trHeight w:val="400" w:hRule="atLeast"/>
        </w:trPr>
        <w:tc>
          <w:tcPr>
            <w:tcW w:w="2500" w:type="dxa"/>
            <w:tcBorders>
              <w:bottom w:val="single" w:color="1a365d" w:sz="8"/>
            </w:tcBorders>
            <w:shd w:val="clear" w:fill="e2e8f0"/>
            <w:vAlign w:val="center"/>
          </w:tcPr>
          <w:p>
            <w:pPr>
              <w:spacing w:before="0" w:after="0"/>
              <w:jc w:val="center"/>
            </w:pPr>
            <w:r>
              <w:rPr>
                <w:b/>
                <w:color w:val="1a365d"/>
                <w:sz w:val="21"/>
              </w:rPr>
              <w:t>IT Category</w:t>
            </w:r>
          </w:p>
        </w:tc>
        <w:tc>
          <w:tcPr>
            <w:tcW w:w="2500" w:type="dxa"/>
            <w:tcBorders>
              <w:bottom w:val="single" w:color="1a365d" w:sz="8"/>
            </w:tcBorders>
            <w:shd w:val="clear" w:fill="e2e8f0"/>
            <w:vAlign w:val="center"/>
          </w:tcPr>
          <w:p>
            <w:pPr>
              <w:spacing w:before="0" w:after="0"/>
              <w:jc w:val="center"/>
            </w:pPr>
            <w:r>
              <w:rPr>
                <w:b/>
                <w:color w:val="1a365d"/>
                <w:sz w:val="21"/>
              </w:rPr>
              <w:t>Representative Role</w:t>
            </w:r>
          </w:p>
        </w:tc>
        <w:tc>
          <w:tcPr>
            <w:tcW w:w="1500" w:type="dxa"/>
            <w:tcBorders>
              <w:bottom w:val="single" w:color="1a365d" w:sz="8"/>
            </w:tcBorders>
            <w:shd w:val="clear" w:fill="e2e8f0"/>
            <w:vAlign w:val="center"/>
          </w:tcPr>
          <w:p>
            <w:pPr>
              <w:spacing w:before="0" w:after="0"/>
              <w:jc w:val="center"/>
            </w:pPr>
            <w:r>
              <w:rPr>
                <w:b/>
                <w:color w:val="1a365d"/>
                <w:sz w:val="21"/>
              </w:rPr>
              <w:t>Experience</w:t>
            </w:r>
          </w:p>
        </w:tc>
        <w:tc>
          <w:tcPr>
            <w:tcW w:w="3500" w:type="dxa"/>
            <w:tcBorders>
              <w:bottom w:val="single" w:color="1a365d" w:sz="8"/>
            </w:tcBorders>
            <w:shd w:val="clear" w:fill="e2e8f0"/>
            <w:vAlign w:val="center"/>
          </w:tcPr>
          <w:p>
            <w:pPr>
              <w:spacing w:before="0" w:after="0"/>
              <w:jc w:val="center"/>
            </w:pPr>
            <w:r>
              <w:rPr>
                <w:b/>
                <w:color w:val="1a365d"/>
                <w:sz w:val="21"/>
              </w:rPr>
              <w:t>Certifications</w:t>
            </w:r>
          </w:p>
        </w:tc>
      </w:tr>
      <w:tr>
        <w:trPr>
          <w:trHeight w:val="350" w:hRule="atLeast"/>
        </w:trPr>
        <w:tc>
          <w:tcPr>
            <w:tcW w:w="2500" w:type="dxa"/>
            <w:vAlign w:val="center"/>
          </w:tcPr>
          <w:p>
            <w:pPr>
              <w:spacing w:before="0" w:after="0"/>
              <w:jc w:val="left"/>
            </w:pPr>
            <w:r>
              <w:rPr>
                <w:color w:val="1a202c"/>
                <w:sz w:val="21"/>
              </w:rPr>
              <w:t>Network Engineering</w:t>
            </w:r>
          </w:p>
        </w:tc>
        <w:tc>
          <w:tcPr>
            <w:tcW w:w="2500" w:type="dxa"/>
            <w:vAlign w:val="center"/>
          </w:tcPr>
          <w:p>
            <w:pPr>
              <w:spacing w:before="0" w:after="0"/>
              <w:jc w:val="center"/>
            </w:pPr>
            <w:r>
              <w:rPr>
                <w:color w:val="1a202c"/>
                <w:sz w:val="21"/>
              </w:rPr>
              <w:t>Network Engineer II</w:t>
            </w:r>
          </w:p>
        </w:tc>
        <w:tc>
          <w:tcPr>
            <w:tcW w:w="1500" w:type="dxa"/>
            <w:vAlign w:val="center"/>
          </w:tcPr>
          <w:p>
            <w:pPr>
              <w:spacing w:before="0" w:after="0"/>
              <w:jc w:val="center"/>
            </w:pPr>
            <w:r>
              <w:rPr>
                <w:color w:val="1a202c"/>
                <w:sz w:val="21"/>
              </w:rPr>
              <w:t>10+ years</w:t>
            </w:r>
          </w:p>
        </w:tc>
        <w:tc>
          <w:tcPr>
            <w:tcW w:w="3500" w:type="dxa"/>
            <w:vAlign w:val="center"/>
          </w:tcPr>
          <w:p>
            <w:pPr>
              <w:spacing w:before="0" w:after="0"/>
              <w:jc w:val="center"/>
            </w:pPr>
            <w:r>
              <w:rPr>
                <w:color w:val="1a202c"/>
                <w:sz w:val="21"/>
              </w:rPr>
              <w:t>Cisco CCNP, Fortinet NSE 4</w:t>
            </w:r>
          </w:p>
        </w:tc>
      </w:tr>
      <w:tr>
        <w:trPr>
          <w:trHeight w:val="350" w:hRule="atLeast"/>
        </w:trPr>
        <w:tc>
          <w:tcPr>
            <w:tcW w:w="2500" w:type="dxa"/>
            <w:vAlign w:val="center"/>
          </w:tcPr>
          <w:p>
            <w:pPr>
              <w:spacing w:before="0" w:after="0"/>
              <w:jc w:val="left"/>
            </w:pPr>
            <w:r>
              <w:rPr>
                <w:color w:val="1a202c"/>
                <w:sz w:val="21"/>
              </w:rPr>
              <w:t>System Administration</w:t>
            </w:r>
          </w:p>
        </w:tc>
        <w:tc>
          <w:tcPr>
            <w:tcW w:w="2500" w:type="dxa"/>
            <w:vAlign w:val="center"/>
          </w:tcPr>
          <w:p>
            <w:pPr>
              <w:spacing w:before="0" w:after="0"/>
              <w:jc w:val="center"/>
            </w:pPr>
            <w:r>
              <w:rPr>
                <w:color w:val="1a202c"/>
                <w:sz w:val="21"/>
              </w:rPr>
              <w:t>Systems Administrator</w:t>
            </w:r>
          </w:p>
        </w:tc>
        <w:tc>
          <w:tcPr>
            <w:tcW w:w="1500" w:type="dxa"/>
            <w:vAlign w:val="center"/>
          </w:tcPr>
          <w:p>
            <w:pPr>
              <w:spacing w:before="0" w:after="0"/>
              <w:jc w:val="center"/>
            </w:pPr>
            <w:r>
              <w:rPr>
                <w:color w:val="1a202c"/>
                <w:sz w:val="21"/>
              </w:rPr>
              <w:t>8 years</w:t>
            </w:r>
          </w:p>
        </w:tc>
        <w:tc>
          <w:tcPr>
            <w:tcW w:w="3500" w:type="dxa"/>
            <w:vAlign w:val="center"/>
          </w:tcPr>
          <w:p>
            <w:pPr>
              <w:spacing w:before="0" w:after="0"/>
              <w:jc w:val="center"/>
            </w:pPr>
            <w:r>
              <w:rPr>
                <w:color w:val="1a202c"/>
                <w:sz w:val="21"/>
              </w:rPr>
              <w:t>Microsoft MCSA, VMware VCP</w:t>
            </w:r>
          </w:p>
        </w:tc>
      </w:tr>
      <w:tr>
        <w:trPr>
          <w:trHeight w:val="350" w:hRule="atLeast"/>
        </w:trPr>
        <w:tc>
          <w:tcPr>
            <w:tcW w:w="2500" w:type="dxa"/>
            <w:vAlign w:val="center"/>
          </w:tcPr>
          <w:p>
            <w:pPr>
              <w:spacing w:before="0" w:after="0"/>
              <w:jc w:val="left"/>
            </w:pPr>
            <w:r>
              <w:rPr>
                <w:color w:val="1a202c"/>
                <w:sz w:val="21"/>
              </w:rPr>
              <w:t>Cybersecurity</w:t>
            </w:r>
          </w:p>
        </w:tc>
        <w:tc>
          <w:tcPr>
            <w:tcW w:w="2500" w:type="dxa"/>
            <w:vAlign w:val="center"/>
          </w:tcPr>
          <w:p>
            <w:pPr>
              <w:spacing w:before="0" w:after="0"/>
              <w:jc w:val="center"/>
            </w:pPr>
            <w:r>
              <w:rPr>
                <w:color w:val="1a202c"/>
                <w:sz w:val="21"/>
              </w:rPr>
              <w:t>Security Analyst</w:t>
            </w:r>
          </w:p>
        </w:tc>
        <w:tc>
          <w:tcPr>
            <w:tcW w:w="1500" w:type="dxa"/>
            <w:vAlign w:val="center"/>
          </w:tcPr>
          <w:p>
            <w:pPr>
              <w:spacing w:before="0" w:after="0"/>
              <w:jc w:val="center"/>
            </w:pPr>
            <w:r>
              <w:rPr>
                <w:color w:val="1a202c"/>
                <w:sz w:val="21"/>
              </w:rPr>
              <w:t>9 years</w:t>
            </w:r>
          </w:p>
        </w:tc>
        <w:tc>
          <w:tcPr>
            <w:tcW w:w="3500" w:type="dxa"/>
            <w:vAlign w:val="center"/>
          </w:tcPr>
          <w:p>
            <w:pPr>
              <w:spacing w:before="0" w:after="0"/>
              <w:jc w:val="center"/>
            </w:pPr>
            <w:r>
              <w:rPr>
                <w:color w:val="1a202c"/>
                <w:sz w:val="21"/>
              </w:rPr>
              <w:t>CompTIA Security+, CISSP</w:t>
            </w:r>
          </w:p>
        </w:tc>
      </w:tr>
      <w:tr>
        <w:trPr>
          <w:trHeight w:val="350" w:hRule="atLeast"/>
        </w:trPr>
        <w:tc>
          <w:tcPr>
            <w:tcW w:w="2500" w:type="dxa"/>
            <w:vAlign w:val="center"/>
          </w:tcPr>
          <w:p>
            <w:pPr>
              <w:spacing w:before="0" w:after="0"/>
              <w:jc w:val="left"/>
            </w:pPr>
            <w:r>
              <w:rPr>
                <w:color w:val="1a202c"/>
                <w:sz w:val="21"/>
              </w:rPr>
              <w:t>Application Development</w:t>
            </w:r>
          </w:p>
        </w:tc>
        <w:tc>
          <w:tcPr>
            <w:tcW w:w="2500" w:type="dxa"/>
            <w:vAlign w:val="center"/>
          </w:tcPr>
          <w:p>
            <w:pPr>
              <w:spacing w:before="0" w:after="0"/>
              <w:jc w:val="center"/>
            </w:pPr>
            <w:r>
              <w:rPr>
                <w:color w:val="1a202c"/>
                <w:sz w:val="21"/>
              </w:rPr>
              <w:t>Full-Stack Developer</w:t>
            </w:r>
          </w:p>
        </w:tc>
        <w:tc>
          <w:tcPr>
            <w:tcW w:w="1500" w:type="dxa"/>
            <w:vAlign w:val="center"/>
          </w:tcPr>
          <w:p>
            <w:pPr>
              <w:spacing w:before="0" w:after="0"/>
              <w:jc w:val="center"/>
            </w:pPr>
            <w:r>
              <w:rPr>
                <w:color w:val="1a202c"/>
                <w:sz w:val="21"/>
              </w:rPr>
              <w:t>7 years</w:t>
            </w:r>
          </w:p>
        </w:tc>
        <w:tc>
          <w:tcPr>
            <w:tcW w:w="3500" w:type="dxa"/>
            <w:vAlign w:val="center"/>
          </w:tcPr>
          <w:p>
            <w:pPr>
              <w:spacing w:before="0" w:after="0"/>
              <w:jc w:val="center"/>
            </w:pPr>
            <w:r>
              <w:rPr>
                <w:color w:val="1a202c"/>
                <w:sz w:val="21"/>
              </w:rPr>
              <w:t>Microsoft Certified Developer</w:t>
            </w:r>
          </w:p>
        </w:tc>
      </w:tr>
      <w:tr>
        <w:trPr>
          <w:trHeight w:val="350" w:hRule="atLeast"/>
        </w:trPr>
        <w:tc>
          <w:tcPr>
            <w:tcW w:w="2500" w:type="dxa"/>
            <w:vAlign w:val="center"/>
          </w:tcPr>
          <w:p>
            <w:pPr>
              <w:spacing w:before="0" w:after="0"/>
              <w:jc w:val="left"/>
            </w:pPr>
            <w:r>
              <w:rPr>
                <w:color w:val="1a202c"/>
                <w:sz w:val="21"/>
              </w:rPr>
              <w:t>ERP - Ellucian Colleague</w:t>
            </w:r>
          </w:p>
        </w:tc>
        <w:tc>
          <w:tcPr>
            <w:tcW w:w="2500" w:type="dxa"/>
            <w:vAlign w:val="center"/>
          </w:tcPr>
          <w:p>
            <w:pPr>
              <w:spacing w:before="0" w:after="0"/>
              <w:jc w:val="center"/>
            </w:pPr>
            <w:r>
              <w:rPr>
                <w:color w:val="1a202c"/>
                <w:sz w:val="21"/>
              </w:rPr>
              <w:t>ERP Functional Consultant</w:t>
            </w:r>
          </w:p>
        </w:tc>
        <w:tc>
          <w:tcPr>
            <w:tcW w:w="1500" w:type="dxa"/>
            <w:vAlign w:val="center"/>
          </w:tcPr>
          <w:p>
            <w:pPr>
              <w:spacing w:before="0" w:after="0"/>
              <w:jc w:val="center"/>
            </w:pPr>
            <w:r>
              <w:rPr>
                <w:color w:val="1a202c"/>
                <w:sz w:val="21"/>
              </w:rPr>
              <w:t>12 years</w:t>
            </w:r>
          </w:p>
        </w:tc>
        <w:tc>
          <w:tcPr>
            <w:tcW w:w="3500" w:type="dxa"/>
            <w:vAlign w:val="center"/>
          </w:tcPr>
          <w:p>
            <w:pPr>
              <w:spacing w:before="0" w:after="0"/>
              <w:jc w:val="center"/>
            </w:pPr>
            <w:r>
              <w:rPr>
                <w:color w:val="1a202c"/>
                <w:sz w:val="21"/>
              </w:rPr>
              <w:t>Ellucian Colleague Certified</w:t>
            </w:r>
          </w:p>
        </w:tc>
      </w:tr>
      <w:tr>
        <w:trPr>
          <w:trHeight w:val="350" w:hRule="atLeast"/>
        </w:trPr>
        <w:tc>
          <w:tcPr>
            <w:tcW w:w="2500" w:type="dxa"/>
            <w:vAlign w:val="center"/>
          </w:tcPr>
          <w:p>
            <w:pPr>
              <w:spacing w:before="0" w:after="0"/>
              <w:jc w:val="left"/>
            </w:pPr>
            <w:r>
              <w:rPr>
                <w:color w:val="1a202c"/>
                <w:sz w:val="21"/>
              </w:rPr>
              <w:t>Data Analytics</w:t>
            </w:r>
          </w:p>
        </w:tc>
        <w:tc>
          <w:tcPr>
            <w:tcW w:w="2500" w:type="dxa"/>
            <w:vAlign w:val="center"/>
          </w:tcPr>
          <w:p>
            <w:pPr>
              <w:spacing w:before="0" w:after="0"/>
              <w:jc w:val="center"/>
            </w:pPr>
            <w:r>
              <w:rPr>
                <w:color w:val="1a202c"/>
                <w:sz w:val="21"/>
              </w:rPr>
              <w:t>Data Analyst</w:t>
            </w:r>
          </w:p>
        </w:tc>
        <w:tc>
          <w:tcPr>
            <w:tcW w:w="1500" w:type="dxa"/>
            <w:vAlign w:val="center"/>
          </w:tcPr>
          <w:p>
            <w:pPr>
              <w:spacing w:before="0" w:after="0"/>
              <w:jc w:val="center"/>
            </w:pPr>
            <w:r>
              <w:rPr>
                <w:color w:val="1a202c"/>
                <w:sz w:val="21"/>
              </w:rPr>
              <w:t>6 years</w:t>
            </w:r>
          </w:p>
        </w:tc>
        <w:tc>
          <w:tcPr>
            <w:tcW w:w="3500" w:type="dxa"/>
            <w:vAlign w:val="center"/>
          </w:tcPr>
          <w:p>
            <w:pPr>
              <w:spacing w:before="0" w:after="0"/>
              <w:jc w:val="center"/>
            </w:pPr>
            <w:r>
              <w:rPr>
                <w:color w:val="1a202c"/>
                <w:sz w:val="21"/>
              </w:rPr>
              <w:t>Power BI, SQL Server, Tableau</w:t>
            </w:r>
          </w:p>
        </w:tc>
      </w:tr>
      <w:tr>
        <w:trPr>
          <w:trHeight w:val="350" w:hRule="atLeast"/>
        </w:trPr>
        <w:tc>
          <w:tcPr>
            <w:tcW w:w="2500" w:type="dxa"/>
            <w:vAlign w:val="center"/>
          </w:tcPr>
          <w:p>
            <w:pPr>
              <w:spacing w:before="0" w:after="0"/>
              <w:jc w:val="left"/>
            </w:pPr>
            <w:r>
              <w:rPr>
                <w:color w:val="1a202c"/>
                <w:sz w:val="21"/>
              </w:rPr>
              <w:t>Web Content Management</w:t>
            </w:r>
          </w:p>
        </w:tc>
        <w:tc>
          <w:tcPr>
            <w:tcW w:w="2500" w:type="dxa"/>
            <w:vAlign w:val="center"/>
          </w:tcPr>
          <w:p>
            <w:pPr>
              <w:spacing w:before="0" w:after="0"/>
              <w:jc w:val="center"/>
            </w:pPr>
            <w:r>
              <w:rPr>
                <w:color w:val="1a202c"/>
                <w:sz w:val="21"/>
              </w:rPr>
              <w:t>Web Administrator</w:t>
            </w:r>
          </w:p>
        </w:tc>
        <w:tc>
          <w:tcPr>
            <w:tcW w:w="1500" w:type="dxa"/>
            <w:vAlign w:val="center"/>
          </w:tcPr>
          <w:p>
            <w:pPr>
              <w:spacing w:before="0" w:after="0"/>
              <w:jc w:val="center"/>
            </w:pPr>
            <w:r>
              <w:rPr>
                <w:color w:val="1a202c"/>
                <w:sz w:val="21"/>
              </w:rPr>
              <w:t>8 years</w:t>
            </w:r>
          </w:p>
        </w:tc>
        <w:tc>
          <w:tcPr>
            <w:tcW w:w="3500" w:type="dxa"/>
            <w:vAlign w:val="center"/>
          </w:tcPr>
          <w:p>
            <w:pPr>
              <w:spacing w:before="0" w:after="0"/>
              <w:jc w:val="center"/>
            </w:pPr>
            <w:r>
              <w:rPr>
                <w:color w:val="1a202c"/>
                <w:sz w:val="21"/>
              </w:rPr>
              <w:t>HTML5, CSS3, WCAG 2.1</w:t>
            </w:r>
          </w:p>
        </w:tc>
      </w:tr>
      <w:tr>
        <w:trPr>
          <w:trHeight w:val="350" w:hRule="atLeast"/>
        </w:trPr>
        <w:tc>
          <w:tcPr>
            <w:tcW w:w="2500" w:type="dxa"/>
            <w:vAlign w:val="center"/>
          </w:tcPr>
          <w:p>
            <w:pPr>
              <w:spacing w:before="0" w:after="0"/>
              <w:jc w:val="left"/>
            </w:pPr>
            <w:r>
              <w:rPr>
                <w:color w:val="1a202c"/>
                <w:sz w:val="21"/>
              </w:rPr>
              <w:t>Business Analysis</w:t>
            </w:r>
          </w:p>
        </w:tc>
        <w:tc>
          <w:tcPr>
            <w:tcW w:w="2500" w:type="dxa"/>
            <w:vAlign w:val="center"/>
          </w:tcPr>
          <w:p>
            <w:pPr>
              <w:spacing w:before="0" w:after="0"/>
              <w:jc w:val="center"/>
            </w:pPr>
            <w:r>
              <w:rPr>
                <w:color w:val="1a202c"/>
                <w:sz w:val="21"/>
              </w:rPr>
              <w:t>Business Analyst</w:t>
            </w:r>
          </w:p>
        </w:tc>
        <w:tc>
          <w:tcPr>
            <w:tcW w:w="1500" w:type="dxa"/>
            <w:vAlign w:val="center"/>
          </w:tcPr>
          <w:p>
            <w:pPr>
              <w:spacing w:before="0" w:after="0"/>
              <w:jc w:val="center"/>
            </w:pPr>
            <w:r>
              <w:rPr>
                <w:color w:val="1a202c"/>
                <w:sz w:val="21"/>
              </w:rPr>
              <w:t>10 years</w:t>
            </w:r>
          </w:p>
        </w:tc>
        <w:tc>
          <w:tcPr>
            <w:tcW w:w="3500" w:type="dxa"/>
            <w:vAlign w:val="center"/>
          </w:tcPr>
          <w:p>
            <w:pPr>
              <w:spacing w:before="0" w:after="0"/>
              <w:jc w:val="center"/>
            </w:pPr>
            <w:r>
              <w:rPr>
                <w:color w:val="1a202c"/>
                <w:sz w:val="21"/>
              </w:rPr>
              <w:t>CBAP, Agile Scrum Certified</w:t>
            </w:r>
          </w:p>
        </w:tc>
      </w:tr>
      <w:tr>
        <w:trPr>
          <w:trHeight w:val="350" w:hRule="atLeast"/>
        </w:trPr>
        <w:tc>
          <w:tcPr>
            <w:tcW w:w="2500" w:type="dxa"/>
            <w:vAlign w:val="center"/>
          </w:tcPr>
          <w:p>
            <w:pPr>
              <w:spacing w:before="0" w:after="0"/>
              <w:jc w:val="left"/>
            </w:pPr>
            <w:r>
              <w:rPr>
                <w:color w:val="1a202c"/>
                <w:sz w:val="21"/>
              </w:rPr>
              <w:t>Cloud Operations</w:t>
            </w:r>
          </w:p>
        </w:tc>
        <w:tc>
          <w:tcPr>
            <w:tcW w:w="2500" w:type="dxa"/>
            <w:vAlign w:val="center"/>
          </w:tcPr>
          <w:p>
            <w:pPr>
              <w:spacing w:before="0" w:after="0"/>
              <w:jc w:val="center"/>
            </w:pPr>
            <w:r>
              <w:rPr>
                <w:color w:val="1a202c"/>
                <w:sz w:val="21"/>
              </w:rPr>
              <w:t>Cloud Engineer</w:t>
            </w:r>
          </w:p>
        </w:tc>
        <w:tc>
          <w:tcPr>
            <w:tcW w:w="1500" w:type="dxa"/>
            <w:vAlign w:val="center"/>
          </w:tcPr>
          <w:p>
            <w:pPr>
              <w:spacing w:before="0" w:after="0"/>
              <w:jc w:val="center"/>
            </w:pPr>
            <w:r>
              <w:rPr>
                <w:color w:val="1a202c"/>
                <w:sz w:val="21"/>
              </w:rPr>
              <w:t>9 years</w:t>
            </w:r>
          </w:p>
        </w:tc>
        <w:tc>
          <w:tcPr>
            <w:tcW w:w="3500" w:type="dxa"/>
            <w:vAlign w:val="center"/>
          </w:tcPr>
          <w:p>
            <w:pPr>
              <w:spacing w:before="0" w:after="0"/>
              <w:jc w:val="center"/>
            </w:pPr>
            <w:r>
              <w:rPr>
                <w:color w:val="1a202c"/>
                <w:sz w:val="21"/>
              </w:rPr>
              <w:t>AWS Solutions Architect, Azure Admin</w:t>
            </w:r>
          </w:p>
        </w:tc>
      </w:tr>
      <w:tr>
        <w:trPr>
          <w:trHeight w:val="350" w:hRule="atLeast"/>
        </w:trPr>
        <w:tc>
          <w:tcPr>
            <w:tcW w:w="2500" w:type="dxa"/>
            <w:vAlign w:val="center"/>
          </w:tcPr>
          <w:p>
            <w:pPr>
              <w:spacing w:before="0" w:after="0"/>
              <w:jc w:val="left"/>
            </w:pPr>
            <w:r>
              <w:rPr>
                <w:color w:val="1a202c"/>
                <w:sz w:val="21"/>
              </w:rPr>
              <w:t>Helpdesk &amp; User Support</w:t>
            </w:r>
          </w:p>
        </w:tc>
        <w:tc>
          <w:tcPr>
            <w:tcW w:w="2500" w:type="dxa"/>
            <w:vAlign w:val="center"/>
          </w:tcPr>
          <w:p>
            <w:pPr>
              <w:spacing w:before="0" w:after="0"/>
              <w:jc w:val="center"/>
            </w:pPr>
            <w:r>
              <w:rPr>
                <w:color w:val="1a202c"/>
                <w:sz w:val="21"/>
              </w:rPr>
              <w:t>IT Support Technician</w:t>
            </w:r>
          </w:p>
        </w:tc>
        <w:tc>
          <w:tcPr>
            <w:tcW w:w="1500" w:type="dxa"/>
            <w:vAlign w:val="center"/>
          </w:tcPr>
          <w:p>
            <w:pPr>
              <w:spacing w:before="0" w:after="0"/>
              <w:jc w:val="center"/>
            </w:pPr>
            <w:r>
              <w:rPr>
                <w:color w:val="1a202c"/>
                <w:sz w:val="21"/>
              </w:rPr>
              <w:t>5 years</w:t>
            </w:r>
          </w:p>
        </w:tc>
        <w:tc>
          <w:tcPr>
            <w:tcW w:w="3500" w:type="dxa"/>
            <w:vAlign w:val="center"/>
          </w:tcPr>
          <w:p>
            <w:pPr>
              <w:spacing w:before="0" w:after="0"/>
              <w:jc w:val="center"/>
            </w:pPr>
            <w:r>
              <w:rPr>
                <w:color w:val="1a202c"/>
                <w:sz w:val="21"/>
              </w:rPr>
              <w:t>CompTIA A+, HDI Support Center</w:t>
            </w:r>
          </w:p>
        </w:tc>
      </w:tr>
    </w:tbl>
    <w:p>
      <w:pPr>
        <w:pStyle w:val="Caption"/>
      </w:pPr>
      <w:r>
        <w:t>Table 1: IT Role Categories and Requirements</w:t>
      </w:r>
    </w:p>
    <w:p>
      <w:r>
        <w:t>Full resumes for each representative are attached under Appendix A - Sample Personnel Profiles.</w:t>
      </w:r>
    </w:p>
    <w:p>
      <w:pPr>
        <w:pStyle w:val="Heading1"/>
      </w:pPr>
      <w:r>
        <w:t>Section 6: Ability to Comply with Delivery Schedules</w:t>
      </w:r>
    </w:p>
    <w:p>
      <w:r>
        <w:t>Onsite IT Advisors ensures timely and efficient delivery of staffing services through a well-defined implementation framework designed to meet TSC's operational timelines and resource needs. Our recruitment and fulfillment process is structured to provide qualified candidates within 72 hours of receiving a standard requisition, while specialized or executive roles are typically filled within five to seven business days.</w:t>
      </w:r>
    </w:p>
    <w:p>
      <w:r>
        <w:t>Upon contract award, our dedicated Account Manager will coordinate closely with TSC's designated contact to finalize requisition templates, establish communication protocols, and set expectations for turnaround times. We maintain a rolling pipeline of pre-vetted IT professionals across key disciplines to ensure rapid mobilization for both short-term and long-term assignments.</w:t>
      </w:r>
    </w:p>
    <w:p>
      <w:r>
        <w:t>Our internal project management system tracks each request from intake through placement, ensuring full visibility, accountability, and compliance with agreed milestones. Weekly progress meetings and monthly reports will keep TSC informed of performance metrics, fill rates, and candidate satisfaction.</w:t>
      </w:r>
    </w:p>
    <w:p>
      <w:r>
        <w:t>In the event of staff turnover or performance issues, Onsite IT Advisors guarantees a replacement within 10 business days at no additional cost, ensuring continuity of service and zero disruption to TSC's operations. This structured, transparent approach allows us to consistently meet delivery schedules and exceed client expectations.</w:t>
      </w:r>
    </w:p>
    <w:p>
      <w:pPr>
        <w:pStyle w:val="Heading1"/>
      </w:pPr>
      <w:r>
        <w:t>Section 7: Service Support Policy and Customer Satisfaction</w:t>
      </w:r>
    </w:p>
    <w:p>
      <w:r>
        <w:t>Onsite IT Advisors follows a proactive client service and performance management framework designed to ensure satisfaction and operational reliability throughout the contract term. Each engagement is managed by a dedicated Account Manager who serves as TSC's single point of contact for coordination, escalation, and service tracking. We guarantee acknowledgment of any issue within one business day and prompt resolution with clear communication updates.</w:t>
      </w:r>
    </w:p>
    <w:p>
      <w:r>
        <w:t>Regular performance evaluations and quarterly business reviews (QBRs) provide transparency, highlight metrics, and identify opportunities for improvement. Our customer satisfaction program includes periodic feedback surveys, follow-up sessions, and continuous monitoring of service quality.</w:t>
      </w:r>
    </w:p>
    <w:p>
      <w:r>
        <w:t>Should any staff member's performance fall short of expectations, Onsite IT Advisors will immediately investigate and, if necessary, provide a qualified replacement at no additional cost to the College. This commitment ensures consistent delivery, responsiveness, and measurable client satisfaction.</w:t>
      </w:r>
    </w:p>
    <w:p>
      <w:pPr>
        <w:pStyle w:val="Heading2"/>
      </w:pPr>
      <w:r>
        <w:t>7.1 Warranty and Guarantee</w:t>
      </w:r>
    </w:p>
    <w:p>
      <w:pPr>
        <w:numPr>
          <w:ilvl w:val="0"/>
          <w:numId w:val="2"/>
        </w:numPr>
      </w:pPr>
      <w:r>
        <w:t>Replacement Guarantee: If a placed candidate does not meet expectations within the first 30 days, we will provide a replacement at no additional cost</w:t>
      </w:r>
    </w:p>
    <w:p>
      <w:pPr>
        <w:numPr>
          <w:ilvl w:val="0"/>
          <w:numId w:val="2"/>
        </w:numPr>
      </w:pPr>
      <w:r>
        <w:t>Satisfaction Guarantee: We will work collaboratively with TSC to address any performance concerns and implement corrective actions as needed</w:t>
      </w:r>
    </w:p>
    <w:p>
      <w:pPr>
        <w:numPr>
          <w:ilvl w:val="0"/>
          <w:numId w:val="2"/>
        </w:numPr>
      </w:pPr>
      <w:r>
        <w:t>Quality Assurance: Regular check-ins with placed candidates and TSC supervisors to ensure satisfaction and address any issues promptly</w:t>
      </w:r>
    </w:p>
    <w:p>
      <w:pPr>
        <w:pStyle w:val="Heading2"/>
      </w:pPr>
      <w:r>
        <w:t>7.2 Maintenance and Support</w:t>
      </w:r>
    </w:p>
    <w:p>
      <w:pPr>
        <w:numPr>
          <w:ilvl w:val="0"/>
          <w:numId w:val="2"/>
        </w:numPr>
      </w:pPr>
      <w:r>
        <w:t>Dedicated Account Manager assigned to TSC</w:t>
      </w:r>
    </w:p>
    <w:p>
      <w:pPr>
        <w:numPr>
          <w:ilvl w:val="0"/>
          <w:numId w:val="2"/>
        </w:numPr>
      </w:pPr>
      <w:r>
        <w:t>24/7 emergency contact for urgent staffing needs</w:t>
      </w:r>
    </w:p>
    <w:p>
      <w:pPr>
        <w:numPr>
          <w:ilvl w:val="0"/>
          <w:numId w:val="2"/>
        </w:numPr>
      </w:pPr>
      <w:r>
        <w:t>Weekly status reports on open positions and placements</w:t>
      </w:r>
    </w:p>
    <w:p>
      <w:pPr>
        <w:numPr>
          <w:ilvl w:val="0"/>
          <w:numId w:val="2"/>
        </w:numPr>
      </w:pPr>
      <w:r>
        <w:t>Quarterly business reviews to assess performance and identify improvement opportunities</w:t>
      </w:r>
    </w:p>
    <w:p>
      <w:pPr>
        <w:numPr>
          <w:ilvl w:val="0"/>
          <w:numId w:val="2"/>
        </w:numPr>
      </w:pPr>
      <w:r>
        <w:t>Annual skills assessment and training recommendations for placed candidates</w:t>
      </w:r>
    </w:p>
    <w:p>
      <w:pPr>
        <w:pStyle w:val="Heading1"/>
      </w:pPr>
      <w:r>
        <w:t>Section 8: Administrative and Operational Support Capabilities</w:t>
      </w:r>
    </w:p>
    <w:p>
      <w:r>
        <w:t>Onsite IT Advisors provides complete administrative and operational oversight for all assigned personnel to ensure accuracy, accountability, and compliance. We manage the full cycle of timesheet collection, approval, payroll coordination, and invoice reconciliation using secure and automated processes. Our dedicated operations team monitors attendance, performance, and adherence to TSC's policies and procedures.</w:t>
      </w:r>
    </w:p>
    <w:p>
      <w:r>
        <w:t>Each candidate undergoes a comprehensive pre-employment process, including background checks, E-Verify verification, and reference validation, conducted at our expense in accordance with state and federal laws.</w:t>
      </w:r>
    </w:p>
    <w:p>
      <w:r>
        <w:t>To maintain service excellence, we implement a Quality Assurance and Quality Control (QA/QC) program that tracks key metrics, identifies training needs, and promotes continuous improvement. Any performance or conduct issues are addressed immediately in coordination with TSC's designated representative.</w:t>
      </w:r>
    </w:p>
    <w:p>
      <w:r>
        <w:t>Additionally, Onsite IT Advisors offers rate flexibility and negotiated discounts for long-term or extended assignments, ensuring value and cost-efficiency over the contract duration.</w:t>
      </w:r>
    </w:p>
    <w:p>
      <w:pPr>
        <w:pStyle w:val="Heading1"/>
      </w:pPr>
      <w:r>
        <w:t>Section 9: Pricing and Delivery of Goods and Services</w:t>
      </w:r>
    </w:p>
    <w:p>
      <w:pPr>
        <w:pStyle w:val="Heading2"/>
      </w:pPr>
      <w:r>
        <w:t>9.1 Pricing Structure</w:t>
      </w:r>
    </w:p>
    <w:p>
      <w:r>
        <w:t>We propose the following competitive pricing structure for IT staffing services provided to Texas Southmost College. All rates are all-inclusive and cover the complete cost of providing qualified personnel, including wages, benefits, overhead, and profit margin.</w:t>
      </w:r>
    </w:p>
    <w:tbl>
      <w:tblPr>
        <w:tblW w:w="5000" w:type="pct"/>
        <w:tblBorders>
          <w:top w:val="single" w:color="1a365d" w:sz="12"/>
          <w:left w:val="nil"/>
          <w:bottom w:val="single" w:color="1a365d" w:sz="12"/>
          <w:right w:val="nil"/>
          <w:insideH w:val="single" w:color="cbd5e0" w:sz="4"/>
          <w:insideV w:val="nil"/>
        </w:tblBorders>
        <w:tblCellMar>
          <w:top w:w="100" w:type="dxa"/>
          <w:left w:w="150" w:type="dxa"/>
          <w:bottom w:w="100" w:type="dxa"/>
          <w:right w:w="150" w:type="dxa"/>
        </w:tblCellMar>
      </w:tblPr>
      <w:tblGrid>
        <w:gridCol w:w="4000"/>
        <w:gridCol w:w="3000"/>
        <w:gridCol w:w="3000"/>
      </w:tblGrid>
      <w:tr>
        <w:trPr>
          <w:tblHeader/>
          <w:trHeight w:val="400" w:hRule="atLeast"/>
        </w:trPr>
        <w:tc>
          <w:tcPr>
            <w:tcW w:w="4000" w:type="dxa"/>
            <w:tcBorders>
              <w:bottom w:val="single" w:color="1a365d" w:sz="8"/>
            </w:tcBorders>
            <w:shd w:val="clear" w:fill="e2e8f0"/>
            <w:vAlign w:val="center"/>
          </w:tcPr>
          <w:p>
            <w:pPr>
              <w:spacing w:before="0" w:after="0"/>
              <w:jc w:val="center"/>
            </w:pPr>
            <w:r>
              <w:rPr>
                <w:b/>
                <w:color w:val="1a365d"/>
                <w:sz w:val="21"/>
              </w:rPr>
              <w:t>Position Category</w:t>
            </w:r>
          </w:p>
        </w:tc>
        <w:tc>
          <w:tcPr>
            <w:tcW w:w="3000" w:type="dxa"/>
            <w:tcBorders>
              <w:bottom w:val="single" w:color="1a365d" w:sz="8"/>
            </w:tcBorders>
            <w:shd w:val="clear" w:fill="e2e8f0"/>
            <w:vAlign w:val="center"/>
          </w:tcPr>
          <w:p>
            <w:pPr>
              <w:spacing w:before="0" w:after="0"/>
              <w:jc w:val="center"/>
            </w:pPr>
            <w:r>
              <w:rPr>
                <w:b/>
                <w:color w:val="1a365d"/>
                <w:sz w:val="21"/>
              </w:rPr>
              <w:t>Hourly Rate Range</w:t>
            </w:r>
          </w:p>
        </w:tc>
        <w:tc>
          <w:tcPr>
            <w:tcW w:w="3000" w:type="dxa"/>
            <w:tcBorders>
              <w:bottom w:val="single" w:color="1a365d" w:sz="8"/>
            </w:tcBorders>
            <w:shd w:val="clear" w:fill="e2e8f0"/>
            <w:vAlign w:val="center"/>
          </w:tcPr>
          <w:p>
            <w:pPr>
              <w:spacing w:before="0" w:after="0"/>
              <w:jc w:val="center"/>
            </w:pPr>
            <w:r>
              <w:rPr>
                <w:b/>
                <w:color w:val="1a365d"/>
                <w:sz w:val="21"/>
              </w:rPr>
              <w:t>Bill Rate (All-Inclusive)</w:t>
            </w:r>
          </w:p>
        </w:tc>
      </w:tr>
      <w:tr>
        <w:trPr>
          <w:trHeight w:val="350" w:hRule="atLeast"/>
        </w:trPr>
        <w:tc>
          <w:tcPr>
            <w:tcW w:w="4000" w:type="dxa"/>
            <w:vAlign w:val="center"/>
          </w:tcPr>
          <w:p>
            <w:pPr>
              <w:spacing w:before="0" w:after="0"/>
              <w:jc w:val="left"/>
            </w:pPr>
            <w:r>
              <w:rPr>
                <w:color w:val="1a202c"/>
                <w:sz w:val="21"/>
              </w:rPr>
              <w:t>Network Engineers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User Services Technicians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System Administrators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Web Developers/Designers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Cybersecurity Specialists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Applications Programmers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Business Analysts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Data/Report Analysts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Salesforce/ERP Consultants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r>
        <w:trPr>
          <w:trHeight w:val="350" w:hRule="atLeast"/>
        </w:trPr>
        <w:tc>
          <w:tcPr>
            <w:tcW w:w="4000" w:type="dxa"/>
            <w:vAlign w:val="center"/>
          </w:tcPr>
          <w:p>
            <w:pPr>
              <w:spacing w:before="0" w:after="0"/>
              <w:jc w:val="left"/>
            </w:pPr>
            <w:r>
              <w:rPr>
                <w:color w:val="1a202c"/>
                <w:sz w:val="21"/>
              </w:rPr>
              <w:t>Canvas LMS Consultants</w:t>
            </w:r>
          </w:p>
        </w:tc>
        <w:tc>
          <w:tcPr>
            <w:tcW w:w="3000" w:type="dxa"/>
            <w:vAlign w:val="center"/>
          </w:tcPr>
          <w:p>
            <w:pPr>
              <w:spacing w:before="0" w:after="0"/>
              <w:jc w:val="center"/>
            </w:pPr>
            <w:r>
              <w:rPr>
                <w:color w:val="1a202c"/>
                <w:sz w:val="21"/>
              </w:rPr>
              <w:t>$[XX]-$[XX]</w:t>
            </w:r>
          </w:p>
        </w:tc>
        <w:tc>
          <w:tcPr>
            <w:tcW w:w="3000" w:type="dxa"/>
            <w:vAlign w:val="center"/>
          </w:tcPr>
          <w:p>
            <w:pPr>
              <w:spacing w:before="0" w:after="0"/>
              <w:jc w:val="center"/>
            </w:pPr>
            <w:r>
              <w:rPr>
                <w:color w:val="1a202c"/>
                <w:sz w:val="21"/>
              </w:rPr>
              <w:t>$[XX]</w:t>
            </w:r>
          </w:p>
        </w:tc>
      </w:tr>
    </w:tbl>
    <w:p>
      <w:pPr>
        <w:pStyle w:val="Caption"/>
      </w:pPr>
      <w:r>
        <w:t>Table 2: Hourly Rate Schedule by Position Category</w:t>
      </w:r>
    </w:p>
    <w:p>
      <w:pPr>
        <w:pStyle w:val="Heading2"/>
      </w:pPr>
      <w:r>
        <w:t>9.2 Delivery Timeline</w:t>
      </w:r>
    </w:p>
    <w:p>
      <w:r>
        <w:t>Upon contract award, we guarantee the following delivery schedule for staffing requests:</w:t>
      </w:r>
    </w:p>
    <w:p>
      <w:pPr>
        <w:numPr>
          <w:ilvl w:val="0"/>
          <w:numId w:val="2"/>
        </w:numPr>
      </w:pPr>
      <w:r>
        <w:t>Standard Positions: 5-7 business days from receipt of request</w:t>
      </w:r>
    </w:p>
    <w:p>
      <w:pPr>
        <w:numPr>
          <w:ilvl w:val="0"/>
          <w:numId w:val="2"/>
        </w:numPr>
      </w:pPr>
      <w:r>
        <w:t>Specialized Technical Roles: 10-14 business days from receipt of request</w:t>
      </w:r>
    </w:p>
    <w:p>
      <w:pPr>
        <w:numPr>
          <w:ilvl w:val="0"/>
          <w:numId w:val="2"/>
        </w:numPr>
      </w:pPr>
      <w:r>
        <w:t>Emergency/Urgent Requests: 48-72 hours for pre-qualified candidates</w:t>
      </w:r>
    </w:p>
    <w:p>
      <w:pPr>
        <w:numPr>
          <w:ilvl w:val="0"/>
          <w:numId w:val="2"/>
        </w:numPr>
      </w:pPr>
      <w:r>
        <w:t>Executive/Leadership Roles: 15-20 business days from receipt of request</w:t>
      </w:r>
    </w:p>
    <w:p>
      <w:pPr>
        <w:pStyle w:val="Heading2"/>
      </w:pPr>
      <w:r>
        <w:t>9.3 Rate Validity</w:t>
      </w:r>
    </w:p>
    <w:p>
      <w:r>
        <w:t>The proposed rates are valid for the initial contract period of November 20, 2025 through August 31, 2026, with annual rate adjustments not to exceed 3% for any contract renewal periods. All rates are F.O.B. Destination, Brownsville, Texas.</w:t>
      </w:r>
    </w:p>
    <w:p>
      <w:pPr>
        <w:pStyle w:val="Heading2"/>
      </w:pPr>
      <w:r>
        <w:t>9.4 Long-Term Placement Discount</w:t>
      </w:r>
    </w:p>
    <w:p>
      <w:r>
        <w:t>Onsite IT Advisors acknowledges TSC's right to negotiate long-term rate adjustments for extended placements. We will provide flexible, volume-based, or long-term discount structures for assignments exceeding six (6) months, ensuring optimal value and budget alignment for TSC. Any such negotiated discounts will be mutually agreed upon and documented at the task-order level.</w:t>
      </w:r>
    </w:p>
    <w:p>
      <w:pPr>
        <w:pStyle w:val="Heading1"/>
      </w:pPr>
      <w:r>
        <w:t>Section 10: Historically Underutilized Business (HUB) Certification</w:t>
      </w:r>
    </w:p>
    <w:p>
      <w:r>
        <w:t>We are committed to supporting Texas Southmost College's compliance with Historically Underutilized Business (HUB) requirements. Our response to this criterion is as follows:</w:t>
      </w:r>
    </w:p>
    <w:p>
      <w:pPr>
        <w:pStyle w:val="Heading2"/>
      </w:pPr>
      <w:r>
        <w:t>10.1 HUB Status</w:t>
      </w:r>
    </w:p>
    <w:p>
      <w:r>
        <w:rPr>
          <w:b/>
        </w:rPr>
        <w:t>HUB Certified: </w:t>
      </w:r>
      <w:r>
        <w:t>[ ] Yes    [ ] No</w:t>
      </w:r>
    </w:p>
    <w:p>
      <w:r>
        <w:t>[If Yes: Provide HUB certification number and expiration date]</w:t>
      </w:r>
    </w:p>
    <w:p>
      <w:r>
        <w:t>[If No: Describe subcontracting plans with HUB-certified firms or other efforts to support HUB participation]</w:t>
      </w:r>
    </w:p>
    <w:p>
      <w:pPr>
        <w:pStyle w:val="Heading2"/>
      </w:pPr>
      <w:r>
        <w:t>10.2 HUB Subcontracting Plan</w:t>
      </w:r>
    </w:p>
    <w:p>
      <w:r>
        <w:t>If not HUB-certified, we propose the following plan to support TSC's HUB compliance:</w:t>
      </w:r>
    </w:p>
    <w:p>
      <w:pPr>
        <w:numPr>
          <w:ilvl w:val="0"/>
          <w:numId w:val="2"/>
        </w:numPr>
      </w:pPr>
      <w:r>
        <w:t>Identify and engage HUB-certified subcontractors for applicable services</w:t>
      </w:r>
    </w:p>
    <w:p>
      <w:pPr>
        <w:numPr>
          <w:ilvl w:val="0"/>
          <w:numId w:val="2"/>
        </w:numPr>
      </w:pPr>
      <w:r>
        <w:t>Document and report HUB participation in all project activities</w:t>
      </w:r>
    </w:p>
    <w:p>
      <w:pPr>
        <w:numPr>
          <w:ilvl w:val="0"/>
          <w:numId w:val="2"/>
        </w:numPr>
      </w:pPr>
      <w:r>
        <w:t>Attend TSC-sponsored HUB outreach events</w:t>
      </w:r>
    </w:p>
    <w:p>
      <w:pPr>
        <w:numPr>
          <w:ilvl w:val="0"/>
          <w:numId w:val="2"/>
        </w:numPr>
      </w:pPr>
      <w:r>
        <w:t>Provide quarterly reports on HUB spending and participation</w:t>
      </w:r>
    </w:p>
    <w:p>
      <w:pPr>
        <w:pStyle w:val="Heading2"/>
      </w:pPr>
      <w:r>
        <w:t>10.3 Diversity Recruitment</w:t>
      </w:r>
    </w:p>
    <w:p>
      <w:r>
        <w:t>Onsite IT Advisors is committed to diversity recruitment to promote inclusion and participation of Historically Underutilized Businesses (HUB) and minority talent. Our sourcing strategies include partnerships with diverse professional organizations and state HUB vendor directories.</w:t>
      </w:r>
    </w:p>
    <w:p>
      <w:pPr>
        <w:pStyle w:val="Heading1"/>
      </w:pPr>
      <w:r>
        <w:t>Section 11: Principal Place of Business and Texas Presence</w:t>
      </w:r>
    </w:p>
    <w:p>
      <w:pPr>
        <w:pStyle w:val="Heading2"/>
      </w:pPr>
      <w:r>
        <w:t>11.1 Corporate Information</w:t>
      </w:r>
    </w:p>
    <w:p>
      <w:r>
        <w:t>The following information verifies our corporate presence:</w:t>
      </w:r>
    </w:p>
    <w:tbl>
      <w:tblPr>
        <w:tblW w:w="5000" w:type="pct"/>
        <w:tblBorders>
          <w:top w:val="nil"/>
          <w:left w:val="nil"/>
          <w:bottom w:val="nil"/>
          <w:right w:val="nil"/>
          <w:insideH w:val="nil"/>
          <w:insideV w:val="nil"/>
        </w:tblBorders>
      </w:tblPr>
      <w:tblGrid>
        <w:gridCol w:w="4000"/>
        <w:gridCol w:w="6000"/>
      </w:tblGrid>
      <w:tr>
        <w:tc>
          <w:tcPr>
            <w:tcW w:w="4000" w:type="dxa"/>
          </w:tcPr>
          <w:p>
            <w:r>
              <w:rPr>
                <w:b/>
              </w:rPr>
              <w:t>Corporate Office Location:</w:t>
            </w:r>
          </w:p>
        </w:tc>
        <w:tc>
          <w:tcPr>
            <w:tcW w:w="6000" w:type="dxa"/>
          </w:tcPr>
          <w:p>
            <w:r>
              <w:t>12600 Deerfield Parkway, Suite 100, Alpharetta, Georgia 30004</w:t>
            </w:r>
          </w:p>
        </w:tc>
      </w:tr>
    </w:tbl>
    <w:tbl>
      <w:tblPr>
        <w:tblW w:w="5000" w:type="pct"/>
        <w:tblBorders>
          <w:top w:val="nil"/>
          <w:left w:val="nil"/>
          <w:bottom w:val="nil"/>
          <w:right w:val="nil"/>
          <w:insideH w:val="nil"/>
          <w:insideV w:val="nil"/>
        </w:tblBorders>
      </w:tblPr>
      <w:tblGrid>
        <w:gridCol w:w="4000"/>
        <w:gridCol w:w="6000"/>
      </w:tblGrid>
      <w:tr>
        <w:tc>
          <w:tcPr>
            <w:tcW w:w="4000" w:type="dxa"/>
          </w:tcPr>
          <w:p>
            <w:r>
              <w:rPr>
                <w:b/>
              </w:rPr>
              <w:t>State of Incorporation:</w:t>
            </w:r>
          </w:p>
        </w:tc>
        <w:tc>
          <w:tcPr>
            <w:tcW w:w="6000" w:type="dxa"/>
          </w:tcPr>
          <w:p>
            <w:r>
              <w:t>Georgia</w:t>
            </w:r>
          </w:p>
        </w:tc>
      </w:tr>
    </w:tbl>
    <w:tbl>
      <w:tblPr>
        <w:tblW w:w="5000" w:type="pct"/>
        <w:tblBorders>
          <w:top w:val="nil"/>
          <w:left w:val="nil"/>
          <w:bottom w:val="nil"/>
          <w:right w:val="nil"/>
          <w:insideH w:val="nil"/>
          <w:insideV w:val="nil"/>
        </w:tblBorders>
      </w:tblPr>
      <w:tblGrid>
        <w:gridCol w:w="4000"/>
        <w:gridCol w:w="6000"/>
      </w:tblGrid>
      <w:tr>
        <w:tc>
          <w:tcPr>
            <w:tcW w:w="4000" w:type="dxa"/>
          </w:tcPr>
          <w:p>
            <w:r>
              <w:rPr>
                <w:b/>
              </w:rPr>
              <w:t>Texas Taxpayer ID:</w:t>
            </w:r>
          </w:p>
        </w:tc>
        <w:tc>
          <w:tcPr>
            <w:tcW w:w="6000" w:type="dxa"/>
          </w:tcPr>
          <w:p>
            <w:r>
              <w:t>[To be provided]</w:t>
            </w:r>
          </w:p>
        </w:tc>
      </w:tr>
    </w:tbl>
    <w:p>
      <w:pPr>
        <w:pStyle w:val="Heading2"/>
      </w:pPr>
      <w:r>
        <w:t>11.2 Texas Employment</w:t>
      </w:r>
    </w:p>
    <w:p>
      <w:r>
        <w:t>We maintain the following Texas-based workforce and capabilities:</w:t>
      </w:r>
    </w:p>
    <w:p>
      <w:pPr>
        <w:numPr>
          <w:ilvl w:val="0"/>
          <w:numId w:val="2"/>
        </w:numPr>
      </w:pPr>
      <w:r>
        <w:t>Texas-based Recruiters: [Number]</w:t>
      </w:r>
    </w:p>
    <w:p>
      <w:pPr>
        <w:numPr>
          <w:ilvl w:val="0"/>
          <w:numId w:val="2"/>
        </w:numPr>
      </w:pPr>
      <w:r>
        <w:t>Texas-based Account Managers: [Number]</w:t>
      </w:r>
    </w:p>
    <w:p>
      <w:pPr>
        <w:numPr>
          <w:ilvl w:val="0"/>
          <w:numId w:val="2"/>
        </w:numPr>
      </w:pPr>
      <w:r>
        <w:t>Texas-based Technical Staff: [Number]</w:t>
      </w:r>
    </w:p>
    <w:p>
      <w:pPr>
        <w:numPr>
          <w:ilvl w:val="0"/>
          <w:numId w:val="2"/>
        </w:numPr>
      </w:pPr>
      <w:r>
        <w:t>Network of qualified IT professionals across Texas: 500+</w:t>
      </w:r>
    </w:p>
    <w:p>
      <w:pPr>
        <w:pStyle w:val="Heading2"/>
      </w:pPr>
      <w:r>
        <w:t>11.3 Regional Service Capability</w:t>
      </w:r>
    </w:p>
    <w:p>
      <w:r>
        <w:t>Although our principal office is located in Georgia, we maintain an established network of qualified IT professionals and partner resources across Texas, enabling us to provide timely on-site response to Texas Southmost College and surrounding regions. Our dedicated account management team and technical recruiters are available during Central Time business hours, ensuring seamless coordination, service accessibility, and compliance with all local and state requirements.</w:t>
      </w:r>
    </w:p>
    <w:p>
      <w:r>
        <w:t>Onsite IT Advisors is evaluating the establishment of a satellite office in Texas to further strengthen our regional presence and enhance support for public sector clients statewide.</w:t>
      </w:r>
    </w:p>
    <w:p>
      <w:pPr>
        <w:pStyle w:val="Heading2"/>
      </w:pPr>
      <w:r>
        <w:t>11.4 Response Time Commitments</w:t>
      </w:r>
    </w:p>
    <w:p>
      <w:r>
        <w:t>We commit to the following response times for all TSC service requests:</w:t>
      </w:r>
    </w:p>
    <w:tbl>
      <w:tblPr>
        <w:tblW w:w="5000" w:type="pct"/>
        <w:tblBorders>
          <w:top w:val="single" w:color="1a365d" w:sz="12"/>
          <w:left w:val="nil"/>
          <w:bottom w:val="single" w:color="1a365d" w:sz="12"/>
          <w:right w:val="nil"/>
          <w:insideH w:val="single" w:color="cbd5e0" w:sz="4"/>
          <w:insideV w:val="nil"/>
        </w:tblBorders>
        <w:tblCellMar>
          <w:top w:w="100" w:type="dxa"/>
          <w:left w:w="150" w:type="dxa"/>
          <w:bottom w:w="100" w:type="dxa"/>
          <w:right w:w="150" w:type="dxa"/>
        </w:tblCellMar>
      </w:tblPr>
      <w:tblGrid>
        <w:gridCol w:w="4000"/>
        <w:gridCol w:w="3000"/>
        <w:gridCol w:w="3000"/>
      </w:tblGrid>
      <w:tr>
        <w:trPr>
          <w:tblHeader/>
          <w:trHeight w:val="400" w:hRule="atLeast"/>
        </w:trPr>
        <w:tc>
          <w:tcPr>
            <w:tcW w:w="4000" w:type="dxa"/>
            <w:tcBorders>
              <w:bottom w:val="single" w:color="1a365d" w:sz="8"/>
            </w:tcBorders>
            <w:shd w:val="clear" w:fill="e2e8f0"/>
            <w:vAlign w:val="center"/>
          </w:tcPr>
          <w:p>
            <w:pPr>
              <w:spacing w:before="0" w:after="0"/>
              <w:jc w:val="center"/>
            </w:pPr>
            <w:r>
              <w:rPr>
                <w:b/>
                <w:color w:val="1a365d"/>
                <w:sz w:val="21"/>
              </w:rPr>
              <w:t>Service Request Type</w:t>
            </w:r>
          </w:p>
        </w:tc>
        <w:tc>
          <w:tcPr>
            <w:tcW w:w="3000" w:type="dxa"/>
            <w:tcBorders>
              <w:bottom w:val="single" w:color="1a365d" w:sz="8"/>
            </w:tcBorders>
            <w:shd w:val="clear" w:fill="e2e8f0"/>
            <w:vAlign w:val="center"/>
          </w:tcPr>
          <w:p>
            <w:pPr>
              <w:spacing w:before="0" w:after="0"/>
              <w:jc w:val="center"/>
            </w:pPr>
            <w:r>
              <w:rPr>
                <w:b/>
                <w:color w:val="1a365d"/>
                <w:sz w:val="21"/>
              </w:rPr>
              <w:t>Response Time</w:t>
            </w:r>
          </w:p>
        </w:tc>
        <w:tc>
          <w:tcPr>
            <w:tcW w:w="3000" w:type="dxa"/>
            <w:tcBorders>
              <w:bottom w:val="single" w:color="1a365d" w:sz="8"/>
            </w:tcBorders>
            <w:shd w:val="clear" w:fill="e2e8f0"/>
            <w:vAlign w:val="center"/>
          </w:tcPr>
          <w:p>
            <w:pPr>
              <w:spacing w:before="0" w:after="0"/>
              <w:jc w:val="center"/>
            </w:pPr>
            <w:r>
              <w:rPr>
                <w:b/>
                <w:color w:val="1a365d"/>
                <w:sz w:val="21"/>
              </w:rPr>
              <w:t>Resolution Time</w:t>
            </w:r>
          </w:p>
        </w:tc>
      </w:tr>
      <w:tr>
        <w:trPr>
          <w:trHeight w:val="350" w:hRule="atLeast"/>
        </w:trPr>
        <w:tc>
          <w:tcPr>
            <w:tcW w:w="4000" w:type="dxa"/>
            <w:vAlign w:val="center"/>
          </w:tcPr>
          <w:p>
            <w:pPr>
              <w:spacing w:before="0" w:after="0"/>
              <w:jc w:val="left"/>
            </w:pPr>
            <w:r>
              <w:rPr>
                <w:color w:val="1a202c"/>
                <w:sz w:val="21"/>
              </w:rPr>
              <w:t>New staffing request acknowledgment</w:t>
            </w:r>
          </w:p>
        </w:tc>
        <w:tc>
          <w:tcPr>
            <w:tcW w:w="3000" w:type="dxa"/>
            <w:vAlign w:val="center"/>
          </w:tcPr>
          <w:p>
            <w:pPr>
              <w:spacing w:before="0" w:after="0"/>
              <w:jc w:val="center"/>
            </w:pPr>
            <w:r>
              <w:rPr>
                <w:color w:val="1a202c"/>
                <w:sz w:val="21"/>
              </w:rPr>
              <w:t>4 business hours</w:t>
            </w:r>
          </w:p>
        </w:tc>
        <w:tc>
          <w:tcPr>
            <w:tcW w:w="3000" w:type="dxa"/>
            <w:vAlign w:val="center"/>
          </w:tcPr>
          <w:p>
            <w:pPr>
              <w:spacing w:before="0" w:after="0"/>
              <w:jc w:val="center"/>
            </w:pPr>
            <w:r>
              <w:rPr>
                <w:color w:val="1a202c"/>
                <w:sz w:val="21"/>
              </w:rPr>
              <w:t>N/A</w:t>
            </w:r>
          </w:p>
        </w:tc>
      </w:tr>
      <w:tr>
        <w:trPr>
          <w:trHeight w:val="350" w:hRule="atLeast"/>
        </w:trPr>
        <w:tc>
          <w:tcPr>
            <w:tcW w:w="4000" w:type="dxa"/>
            <w:vAlign w:val="center"/>
          </w:tcPr>
          <w:p>
            <w:pPr>
              <w:spacing w:before="0" w:after="0"/>
              <w:jc w:val="left"/>
            </w:pPr>
            <w:r>
              <w:rPr>
                <w:color w:val="1a202c"/>
                <w:sz w:val="21"/>
              </w:rPr>
              <w:t>Candidate submission</w:t>
            </w:r>
          </w:p>
        </w:tc>
        <w:tc>
          <w:tcPr>
            <w:tcW w:w="3000" w:type="dxa"/>
            <w:vAlign w:val="center"/>
          </w:tcPr>
          <w:p>
            <w:pPr>
              <w:spacing w:before="0" w:after="0"/>
              <w:jc w:val="center"/>
            </w:pPr>
            <w:r>
              <w:rPr>
                <w:color w:val="1a202c"/>
                <w:sz w:val="21"/>
              </w:rPr>
              <w:t>Per position SLA</w:t>
            </w:r>
          </w:p>
        </w:tc>
        <w:tc>
          <w:tcPr>
            <w:tcW w:w="3000" w:type="dxa"/>
            <w:vAlign w:val="center"/>
          </w:tcPr>
          <w:p>
            <w:pPr>
              <w:spacing w:before="0" w:after="0"/>
              <w:jc w:val="center"/>
            </w:pPr>
            <w:r>
              <w:rPr>
                <w:color w:val="1a202c"/>
                <w:sz w:val="21"/>
              </w:rPr>
              <w:t>5-14 business days</w:t>
            </w:r>
          </w:p>
        </w:tc>
      </w:tr>
      <w:tr>
        <w:trPr>
          <w:trHeight w:val="350" w:hRule="atLeast"/>
        </w:trPr>
        <w:tc>
          <w:tcPr>
            <w:tcW w:w="4000" w:type="dxa"/>
            <w:vAlign w:val="center"/>
          </w:tcPr>
          <w:p>
            <w:pPr>
              <w:spacing w:before="0" w:after="0"/>
              <w:jc w:val="left"/>
            </w:pPr>
            <w:r>
              <w:rPr>
                <w:color w:val="1a202c"/>
                <w:sz w:val="21"/>
              </w:rPr>
              <w:t>Issue/complaint resolution</w:t>
            </w:r>
          </w:p>
        </w:tc>
        <w:tc>
          <w:tcPr>
            <w:tcW w:w="3000" w:type="dxa"/>
            <w:vAlign w:val="center"/>
          </w:tcPr>
          <w:p>
            <w:pPr>
              <w:spacing w:before="0" w:after="0"/>
              <w:jc w:val="center"/>
            </w:pPr>
            <w:r>
              <w:rPr>
                <w:color w:val="1a202c"/>
                <w:sz w:val="21"/>
              </w:rPr>
              <w:t>24 hours</w:t>
            </w:r>
          </w:p>
        </w:tc>
        <w:tc>
          <w:tcPr>
            <w:tcW w:w="3000" w:type="dxa"/>
            <w:vAlign w:val="center"/>
          </w:tcPr>
          <w:p>
            <w:pPr>
              <w:spacing w:before="0" w:after="0"/>
              <w:jc w:val="center"/>
            </w:pPr>
            <w:r>
              <w:rPr>
                <w:color w:val="1a202c"/>
                <w:sz w:val="21"/>
              </w:rPr>
              <w:t>72 hours</w:t>
            </w:r>
          </w:p>
        </w:tc>
      </w:tr>
      <w:tr>
        <w:trPr>
          <w:trHeight w:val="350" w:hRule="atLeast"/>
        </w:trPr>
        <w:tc>
          <w:tcPr>
            <w:tcW w:w="4000" w:type="dxa"/>
            <w:vAlign w:val="center"/>
          </w:tcPr>
          <w:p>
            <w:pPr>
              <w:spacing w:before="0" w:after="0"/>
              <w:jc w:val="left"/>
            </w:pPr>
            <w:r>
              <w:rPr>
                <w:color w:val="1a202c"/>
                <w:sz w:val="21"/>
              </w:rPr>
              <w:t>Emergency staffing request</w:t>
            </w:r>
          </w:p>
        </w:tc>
        <w:tc>
          <w:tcPr>
            <w:tcW w:w="3000" w:type="dxa"/>
            <w:vAlign w:val="center"/>
          </w:tcPr>
          <w:p>
            <w:pPr>
              <w:spacing w:before="0" w:after="0"/>
              <w:jc w:val="center"/>
            </w:pPr>
            <w:r>
              <w:rPr>
                <w:color w:val="1a202c"/>
                <w:sz w:val="21"/>
              </w:rPr>
              <w:t>2 hours</w:t>
            </w:r>
          </w:p>
        </w:tc>
        <w:tc>
          <w:tcPr>
            <w:tcW w:w="3000" w:type="dxa"/>
            <w:vAlign w:val="center"/>
          </w:tcPr>
          <w:p>
            <w:pPr>
              <w:spacing w:before="0" w:after="0"/>
              <w:jc w:val="center"/>
            </w:pPr>
            <w:r>
              <w:rPr>
                <w:color w:val="1a202c"/>
                <w:sz w:val="21"/>
              </w:rPr>
              <w:t>48-72 hours</w:t>
            </w:r>
          </w:p>
        </w:tc>
      </w:tr>
      <w:tr>
        <w:trPr>
          <w:trHeight w:val="350" w:hRule="atLeast"/>
        </w:trPr>
        <w:tc>
          <w:tcPr>
            <w:tcW w:w="4000" w:type="dxa"/>
            <w:vAlign w:val="center"/>
          </w:tcPr>
          <w:p>
            <w:pPr>
              <w:spacing w:before="0" w:after="0"/>
              <w:jc w:val="left"/>
            </w:pPr>
            <w:r>
              <w:rPr>
                <w:color w:val="1a202c"/>
                <w:sz w:val="21"/>
              </w:rPr>
              <w:t>Quarterly business review</w:t>
            </w:r>
          </w:p>
        </w:tc>
        <w:tc>
          <w:tcPr>
            <w:tcW w:w="3000" w:type="dxa"/>
            <w:vAlign w:val="center"/>
          </w:tcPr>
          <w:p>
            <w:pPr>
              <w:spacing w:before="0" w:after="0"/>
              <w:jc w:val="center"/>
            </w:pPr>
            <w:r>
              <w:rPr>
                <w:color w:val="1a202c"/>
                <w:sz w:val="21"/>
              </w:rPr>
              <w:t>Scheduled</w:t>
            </w:r>
          </w:p>
        </w:tc>
        <w:tc>
          <w:tcPr>
            <w:tcW w:w="3000" w:type="dxa"/>
            <w:vAlign w:val="center"/>
          </w:tcPr>
          <w:p>
            <w:pPr>
              <w:spacing w:before="0" w:after="0"/>
              <w:jc w:val="center"/>
            </w:pPr>
            <w:r>
              <w:rPr>
                <w:color w:val="1a202c"/>
                <w:sz w:val="21"/>
              </w:rPr>
              <w:t>Quarterly</w:t>
            </w:r>
          </w:p>
        </w:tc>
      </w:tr>
    </w:tbl>
    <w:p>
      <w:pPr>
        <w:pStyle w:val="Caption"/>
      </w:pPr>
      <w:r>
        <w:t>Table 3: Service Level Commitments</w:t>
      </w:r>
    </w:p>
    <w:p>
      <w:pPr>
        <w:pStyle w:val="Heading1"/>
      </w:pPr>
      <w:r>
        <w:t>References</w:t>
      </w:r>
    </w:p>
    <w:p>
      <w:r>
        <w:t>We provide the following references from higher education institutions and public sector clients who can attest to our performance on comparable projects:</w:t>
      </w:r>
    </w:p>
    <w:tbl>
      <w:tblPr>
        <w:tblW w:w="5000" w:type="pct"/>
        <w:tblBorders>
          <w:top w:val="single" w:color="1a365d" w:sz="12"/>
          <w:left w:val="nil"/>
          <w:bottom w:val="single" w:color="1a365d" w:sz="12"/>
          <w:right w:val="nil"/>
          <w:insideH w:val="single" w:color="cbd5e0" w:sz="4"/>
          <w:insideV w:val="nil"/>
        </w:tblBorders>
        <w:tblCellMar>
          <w:top w:w="100" w:type="dxa"/>
          <w:left w:w="150" w:type="dxa"/>
          <w:bottom w:w="100" w:type="dxa"/>
          <w:right w:w="150" w:type="dxa"/>
        </w:tblCellMar>
      </w:tblPr>
      <w:tblGrid>
        <w:gridCol w:w="2500"/>
        <w:gridCol w:w="2500"/>
        <w:gridCol w:w="2500"/>
        <w:gridCol w:w="2500"/>
      </w:tblGrid>
      <w:tr>
        <w:trPr>
          <w:tblHeader/>
          <w:trHeight w:val="400" w:hRule="atLeast"/>
        </w:trPr>
        <w:tc>
          <w:tcPr>
            <w:tcW w:w="2500" w:type="dxa"/>
            <w:tcBorders>
              <w:bottom w:val="single" w:color="1a365d" w:sz="8"/>
            </w:tcBorders>
            <w:shd w:val="clear" w:fill="e2e8f0"/>
            <w:vAlign w:val="center"/>
          </w:tcPr>
          <w:p>
            <w:pPr>
              <w:spacing w:before="0" w:after="0"/>
              <w:jc w:val="center"/>
            </w:pPr>
            <w:r>
              <w:rPr>
                <w:b/>
                <w:color w:val="1a365d"/>
                <w:sz w:val="21"/>
              </w:rPr>
              <w:t>Institution/Client</w:t>
            </w:r>
          </w:p>
        </w:tc>
        <w:tc>
          <w:tcPr>
            <w:tcW w:w="2500" w:type="dxa"/>
            <w:tcBorders>
              <w:bottom w:val="single" w:color="1a365d" w:sz="8"/>
            </w:tcBorders>
            <w:shd w:val="clear" w:fill="e2e8f0"/>
            <w:vAlign w:val="center"/>
          </w:tcPr>
          <w:p>
            <w:pPr>
              <w:spacing w:before="0" w:after="0"/>
              <w:jc w:val="center"/>
            </w:pPr>
            <w:r>
              <w:rPr>
                <w:b/>
                <w:color w:val="1a365d"/>
                <w:sz w:val="21"/>
              </w:rPr>
              <w:t>Contact Name</w:t>
            </w:r>
          </w:p>
        </w:tc>
        <w:tc>
          <w:tcPr>
            <w:tcW w:w="2500" w:type="dxa"/>
            <w:tcBorders>
              <w:bottom w:val="single" w:color="1a365d" w:sz="8"/>
            </w:tcBorders>
            <w:shd w:val="clear" w:fill="e2e8f0"/>
            <w:vAlign w:val="center"/>
          </w:tcPr>
          <w:p>
            <w:pPr>
              <w:spacing w:before="0" w:after="0"/>
              <w:jc w:val="center"/>
            </w:pPr>
            <w:r>
              <w:rPr>
                <w:b/>
                <w:color w:val="1a365d"/>
                <w:sz w:val="21"/>
              </w:rPr>
              <w:t>Phone/Email</w:t>
            </w:r>
          </w:p>
        </w:tc>
        <w:tc>
          <w:tcPr>
            <w:tcW w:w="2500" w:type="dxa"/>
            <w:tcBorders>
              <w:bottom w:val="single" w:color="1a365d" w:sz="8"/>
            </w:tcBorders>
            <w:shd w:val="clear" w:fill="e2e8f0"/>
            <w:vAlign w:val="center"/>
          </w:tcPr>
          <w:p>
            <w:pPr>
              <w:spacing w:before="0" w:after="0"/>
              <w:jc w:val="center"/>
            </w:pPr>
            <w:r>
              <w:rPr>
                <w:b/>
                <w:color w:val="1a365d"/>
                <w:sz w:val="21"/>
              </w:rPr>
              <w:t>Project Description</w:t>
            </w:r>
          </w:p>
        </w:tc>
      </w:tr>
      <w:tr>
        <w:trPr>
          <w:trHeight w:val="350" w:hRule="atLeast"/>
        </w:trPr>
        <w:tc>
          <w:tcPr>
            <w:tcW w:w="2500" w:type="dxa"/>
            <w:vAlign w:val="center"/>
          </w:tcPr>
          <w:p>
            <w:pPr>
              <w:spacing w:before="0" w:after="0"/>
              <w:jc w:val="left"/>
            </w:pPr>
            <w:r>
              <w:rPr>
                <w:color w:val="1a202c"/>
                <w:sz w:val="21"/>
              </w:rPr>
              <w:t>CDC / Booz Allen Hamilton</w:t>
            </w:r>
          </w:p>
        </w:tc>
        <w:tc>
          <w:tcPr>
            <w:tcW w:w="2500" w:type="dxa"/>
            <w:vAlign w:val="center"/>
          </w:tcPr>
          <w:p>
            <w:pPr>
              <w:spacing w:before="0" w:after="0"/>
              <w:jc w:val="center"/>
            </w:pPr>
            <w:r>
              <w:rPr>
                <w:color w:val="1a202c"/>
                <w:sz w:val="21"/>
              </w:rPr>
              <w:t>[Name, Title]</w:t>
            </w:r>
          </w:p>
        </w:tc>
        <w:tc>
          <w:tcPr>
            <w:tcW w:w="2500" w:type="dxa"/>
            <w:vAlign w:val="center"/>
          </w:tcPr>
          <w:p>
            <w:pPr>
              <w:spacing w:before="0" w:after="0"/>
              <w:jc w:val="center"/>
            </w:pPr>
            <w:r>
              <w:rPr>
                <w:color w:val="1a202c"/>
                <w:sz w:val="21"/>
              </w:rPr>
              <w:t>[Phone/Email]</w:t>
            </w:r>
          </w:p>
        </w:tc>
        <w:tc>
          <w:tcPr>
            <w:tcW w:w="2500" w:type="dxa"/>
            <w:vAlign w:val="center"/>
          </w:tcPr>
          <w:p>
            <w:pPr>
              <w:spacing w:before="0" w:after="0"/>
              <w:jc w:val="center"/>
            </w:pPr>
            <w:r>
              <w:rPr>
                <w:color w:val="1a202c"/>
                <w:sz w:val="21"/>
              </w:rPr>
              <w:t>MVPS Program - IT Staffing</w:t>
            </w:r>
          </w:p>
        </w:tc>
      </w:tr>
      <w:tr>
        <w:trPr>
          <w:trHeight w:val="350" w:hRule="atLeast"/>
        </w:trPr>
        <w:tc>
          <w:tcPr>
            <w:tcW w:w="2500" w:type="dxa"/>
            <w:vAlign w:val="center"/>
          </w:tcPr>
          <w:p>
            <w:pPr>
              <w:spacing w:before="0" w:after="0"/>
              <w:jc w:val="left"/>
            </w:pPr>
            <w:r>
              <w:rPr>
                <w:color w:val="1a202c"/>
                <w:sz w:val="21"/>
              </w:rPr>
              <w:t>Perspecta (Peraton)</w:t>
            </w:r>
          </w:p>
        </w:tc>
        <w:tc>
          <w:tcPr>
            <w:tcW w:w="2500" w:type="dxa"/>
            <w:vAlign w:val="center"/>
          </w:tcPr>
          <w:p>
            <w:pPr>
              <w:spacing w:before="0" w:after="0"/>
              <w:jc w:val="center"/>
            </w:pPr>
            <w:r>
              <w:rPr>
                <w:color w:val="1a202c"/>
                <w:sz w:val="21"/>
              </w:rPr>
              <w:t>[Name, Title]</w:t>
            </w:r>
          </w:p>
        </w:tc>
        <w:tc>
          <w:tcPr>
            <w:tcW w:w="2500" w:type="dxa"/>
            <w:vAlign w:val="center"/>
          </w:tcPr>
          <w:p>
            <w:pPr>
              <w:spacing w:before="0" w:after="0"/>
              <w:jc w:val="center"/>
            </w:pPr>
            <w:r>
              <w:rPr>
                <w:color w:val="1a202c"/>
                <w:sz w:val="21"/>
              </w:rPr>
              <w:t>[Phone/Email]</w:t>
            </w:r>
          </w:p>
        </w:tc>
        <w:tc>
          <w:tcPr>
            <w:tcW w:w="2500" w:type="dxa"/>
            <w:vAlign w:val="center"/>
          </w:tcPr>
          <w:p>
            <w:pPr>
              <w:spacing w:before="0" w:after="0"/>
              <w:jc w:val="center"/>
            </w:pPr>
            <w:r>
              <w:rPr>
                <w:color w:val="1a202c"/>
                <w:sz w:val="21"/>
              </w:rPr>
              <w:t>.NET Development Support</w:t>
            </w:r>
          </w:p>
        </w:tc>
      </w:tr>
      <w:tr>
        <w:trPr>
          <w:trHeight w:val="350" w:hRule="atLeast"/>
        </w:trPr>
        <w:tc>
          <w:tcPr>
            <w:tcW w:w="2500" w:type="dxa"/>
            <w:vAlign w:val="center"/>
          </w:tcPr>
          <w:p>
            <w:pPr>
              <w:spacing w:before="0" w:after="0"/>
              <w:jc w:val="left"/>
            </w:pPr>
            <w:r>
              <w:rPr>
                <w:color w:val="1a202c"/>
                <w:sz w:val="21"/>
              </w:rPr>
              <w:t>Sophron Networks LLC</w:t>
            </w:r>
          </w:p>
        </w:tc>
        <w:tc>
          <w:tcPr>
            <w:tcW w:w="2500" w:type="dxa"/>
            <w:vAlign w:val="center"/>
          </w:tcPr>
          <w:p>
            <w:pPr>
              <w:spacing w:before="0" w:after="0"/>
              <w:jc w:val="center"/>
            </w:pPr>
            <w:r>
              <w:rPr>
                <w:color w:val="1a202c"/>
                <w:sz w:val="21"/>
              </w:rPr>
              <w:t>[Name, Title]</w:t>
            </w:r>
          </w:p>
        </w:tc>
        <w:tc>
          <w:tcPr>
            <w:tcW w:w="2500" w:type="dxa"/>
            <w:vAlign w:val="center"/>
          </w:tcPr>
          <w:p>
            <w:pPr>
              <w:spacing w:before="0" w:after="0"/>
              <w:jc w:val="center"/>
            </w:pPr>
            <w:r>
              <w:rPr>
                <w:color w:val="1a202c"/>
                <w:sz w:val="21"/>
              </w:rPr>
              <w:t>[Phone/Email]</w:t>
            </w:r>
          </w:p>
        </w:tc>
        <w:tc>
          <w:tcPr>
            <w:tcW w:w="2500" w:type="dxa"/>
            <w:vAlign w:val="center"/>
          </w:tcPr>
          <w:p>
            <w:pPr>
              <w:spacing w:before="0" w:after="0"/>
              <w:jc w:val="center"/>
            </w:pPr>
            <w:r>
              <w:rPr>
                <w:color w:val="1a202c"/>
                <w:sz w:val="21"/>
              </w:rPr>
              <w:t>Oracle DBA Services</w:t>
            </w:r>
          </w:p>
        </w:tc>
      </w:tr>
    </w:tbl>
    <w:p>
      <w:pPr>
        <w:pStyle w:val="Caption"/>
      </w:pPr>
      <w:r>
        <w:t>Table 4: Professional References</w:t>
      </w:r>
    </w:p>
    <w:p>
      <w:r>
        <w:t>By providing these references, we authorize Texas Southmost College to contact them and request information regarding our performance on the referenced projects. We have informed each reference that they may be contacted by TSC during the evaluation process.</w:t>
      </w:r>
    </w:p>
    <w:p>
      <w:pPr>
        <w:spacing w:before="400"/>
      </w:pPr>
      <w:r>
        <w:rPr>
          <w:b/>
        </w:rPr>
        <w:t>Note: </w:t>
      </w:r>
      <w:r>
        <w:t>Additional references available upon request.</w:t>
      </w:r>
    </w:p>
    <w:p>
      <w:pPr>
        <w:sectPr>
          <w:headerReference w:type="default" r:id="Ra07aa4444faf480b"/>
          <w:footerReference w:type="default" r:id="R2a9ac29cc7724231"/>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ad8924afe241472b"/>
                    <a:stretch>
                      <a:fillRect/>
                    </a:stretch>
                  </pic:blipFill>
                  <pic:spPr>
                    <a:xfrm>
                      <a:off x="0" y="0"/>
                      <a:ext cx="7560000" cy="10692000"/>
                    </a:xfrm>
                    <a:prstGeom prst="rect"/>
                  </pic:spPr>
                </pic:pic>
              </a:graphicData>
            </a:graphic>
          </wp:anchor>
        </w:drawing>
      </w:r>
    </w:p>
    <w:p>
      <w:pPr>
        <w:spacing w:before="8000"/>
      </w:pPr>
      <w:r/>
    </w:p>
    <w:p>
      <w:pPr>
        <w:spacing w:after="300"/>
        <w:jc w:val="center"/>
      </w:pPr>
      <w:r>
        <w:rPr>
          <w:b/>
          <w:color w:val="1a365d"/>
          <w:sz w:val="36"/>
        </w:rPr>
        <w:t>Onsite IT Advisors</w:t>
      </w:r>
    </w:p>
    <w:p>
      <w:pPr>
        <w:spacing w:after="200"/>
        <w:jc w:val="center"/>
      </w:pPr>
      <w:r>
        <w:rPr>
          <w:color w:val="4a5568"/>
          <w:sz w:val="20"/>
        </w:rPr>
        <w:t>Delivering Excellence in IT Staffing Services</w:t>
      </w:r>
    </w:p>
    <w:p>
      <w:pPr>
        <w:spacing w:after="150"/>
        <w:jc w:val="center"/>
      </w:pPr>
      <w:r>
        <w:rPr>
          <w:color w:val="718096"/>
          <w:sz w:val="18"/>
        </w:rPr>
        <w:t>770-940-3445  |  govt@onsiteitadvisors.com  |  www.onsiteitadvisors.com</w:t>
      </w:r>
    </w:p>
    <w:p>
      <w:pPr>
        <w:jc w:val="center"/>
      </w:pPr>
      <w:r>
        <w:rPr>
          <w:color w:val="718096"/>
          <w:sz w:val="16"/>
        </w:rPr>
        <w:t>Licensed and Insured  |  20,000+ Pre-Vetted IT Professionals</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52a4cb259ad44e2e"/>
                  <a:stretch>
                    <a:fillRect/>
                  </a:stretch>
                </pic:blipFill>
                <pic:spPr>
                  <a:xfrm>
                    <a:off x="0" y="0"/>
                    <a:ext cx="7560000" cy="10692000"/>
                  </a:xfrm>
                  <a:prstGeom prst="rect"/>
                </pic:spPr>
              </pic:pic>
            </a:graphicData>
          </a:graphic>
        </wp:anchor>
      </w:drawing>
    </w:r>
  </w:p>
  <w:p>
    <w:pPr>
      <w:spacing w:before="0" w:after="0"/>
      <w:jc w:val="right"/>
    </w:pPr>
    <w:r>
      <w:rPr>
        <w:color w:val="718096"/>
        <w:sz w:val="18"/>
      </w:rPr>
      <w:t>TSC RFP 26-02</w:t>
    </w:r>
    <w:r>
      <w:rPr>
        <w:color w:val="c9a227"/>
        <w:sz w:val="18"/>
      </w:rPr>
      <w:t xml:space="preserve">  |  </w:t>
    </w:r>
    <w:r>
      <w:rPr>
        <w:color w:val="718096"/>
        <w:sz w:val="18"/>
      </w:rPr>
      <w:t>Onsite IT Advisors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288" w:lineRule="auto"/>
    </w:pPr>
    <w:rPr>
      <w:rFonts w:ascii="Calibri" w:hAnsi="Calibri" w:eastAsia="Microsoft YaHei"/>
      <w:color w:val="1a202c"/>
      <w:sz w:val="22"/>
    </w:rPr>
  </w:style>
  <w:style w:type="paragraph" w:styleId="Heading1">
    <w:name w:val="heading 1"/>
    <w:basedOn w:val="Normal"/>
    <w:pPr>
      <w:keepNext/>
      <w:keepLines/>
      <w:pageBreakBefore/>
      <w:spacing w:before="400" w:after="240" w:line="240" w:lineRule="auto"/>
      <w:outlineLvl w:val="0"/>
    </w:pPr>
    <w:rPr>
      <w:b/>
      <w:color w:val="1a365d"/>
      <w:sz w:val="36"/>
    </w:rPr>
  </w:style>
  <w:style w:type="paragraph" w:styleId="Heading2">
    <w:name w:val="heading 2"/>
    <w:basedOn w:val="Normal"/>
    <w:pPr>
      <w:keepNext/>
      <w:keepLines/>
      <w:spacing w:before="360" w:after="160"/>
      <w:outlineLvl w:val="1"/>
    </w:pPr>
    <w:rPr>
      <w:b/>
      <w:color w:val="1a365d"/>
      <w:sz w:val="28"/>
    </w:rPr>
  </w:style>
  <w:style w:type="paragraph" w:styleId="Heading3">
    <w:name w:val="heading 3"/>
    <w:basedOn w:val="Normal"/>
    <w:pPr>
      <w:keepNext/>
      <w:keepLines/>
      <w:spacing w:before="280" w:after="120"/>
      <w:outlineLvl w:val="2"/>
    </w:pPr>
    <w:rPr>
      <w:b/>
      <w:color w:val="4a5568"/>
      <w:sz w:val="24"/>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 w:type="paragraph" w:styleId="Caption">
    <w:name w:val="Caption"/>
    <w:basedOn w:val="Normal"/>
    <w:pPr>
      <w:keepLines/>
      <w:spacing w:before="60" w:after="300"/>
      <w:jc w:val="center"/>
    </w:pPr>
    <w:rPr>
      <w:i/>
      <w:color w:val="4a5568"/>
      <w:sz w:val="20"/>
    </w:rPr>
  </w:style>
</w:styles>
</file>

<file path=word/_rels/document.xml.rels>&#65279;<?xml version="1.0" encoding="utf-8"?><Relationships xmlns="http://schemas.openxmlformats.org/package/2006/relationships"><Relationship Type="http://schemas.openxmlformats.org/officeDocument/2006/relationships/styles" Target="/word/styles.xml" Id="Rf9b26ccca36c4ea6" /><Relationship Type="http://schemas.openxmlformats.org/officeDocument/2006/relationships/numbering" Target="/word/numbering.xml" Id="Rf561b9bbf0dc44fe" /><Relationship Type="http://schemas.openxmlformats.org/officeDocument/2006/relationships/image" Target="/media/image.png" Id="R8c1b9a6a413e49e0" /><Relationship Type="http://schemas.openxmlformats.org/officeDocument/2006/relationships/image" Target="/media/image2.png" Id="Rb31bbff48b8c4668" /><Relationship Type="http://schemas.openxmlformats.org/officeDocument/2006/relationships/image" Target="/media/image3.png" Id="Rad8924afe241472b" /><Relationship Type="http://schemas.openxmlformats.org/officeDocument/2006/relationships/header" Target="/word/header1.xml" Id="Ra07aa4444faf480b" /><Relationship Type="http://schemas.openxmlformats.org/officeDocument/2006/relationships/footer" Target="/word/footer1.xml" Id="R2a9ac29cc7724231" /><Relationship Type="http://schemas.openxmlformats.org/officeDocument/2006/relationships/settings" Target="/word/settings.xml" Id="R8435ae6e9c0e47b0" /></Relationships>
</file>

<file path=word/_rels/header1.xml.rels>&#65279;<?xml version="1.0" encoding="utf-8"?><Relationships xmlns="http://schemas.openxmlformats.org/package/2006/relationships"><Relationship Type="http://schemas.openxmlformats.org/officeDocument/2006/relationships/image" Target="/media/image4.png" Id="R52a4cb259ad44e2e" /></Relationships>
</file>