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Calibri" w:cs="Calibri" w:eastAsia="Calibri" w:hAnsi="Calibri"/>
          <w:b/>
          <w:bCs/>
          <w:color w:val="1F3864"/>
          <w:sz w:val="44"/>
          <w:szCs w:val="44"/>
        </w:rPr>
        <w:t xml:space="preserve">SQL SERVER MIGRATION READINESS</w:t>
      </w:r>
    </w:p>
    <w:p>
      <w:pPr>
        <w:spacing w:after="100" w:before="0"/>
      </w:pPr>
      <w:r>
        <w:rPr>
          <w:rFonts w:ascii="Calibri" w:cs="Calibri" w:eastAsia="Calibri" w:hAnsi="Calibri"/>
          <w:color w:val="2E74B5"/>
          <w:sz w:val="30"/>
          <w:szCs w:val="30"/>
        </w:rPr>
        <w:t xml:space="preserve">Data Migration Assistant (DMA) — Consolidated Overview</w:t>
      </w:r>
    </w:p>
    <w:p>
      <w:pPr>
        <w:pBdr>
          <w:bottom w:val="single" w:color="D9D9D9" w:sz="8" w:space="6"/>
        </w:pBdr>
        <w:spacing w:after="500" w:before="200"/>
      </w:pPr>
      <w:r>
        <w:rPr>
          <w:rFonts w:ascii="Calibri" w:cs="Calibri" w:eastAsia="Calibri" w:hAnsi="Calibri"/>
          <w:i/>
          <w:iCs/>
          <w:color w:val="595959"/>
          <w:sz w:val="18"/>
          <w:szCs w:val="18"/>
        </w:rPr>
        <w:t xml:space="preserve">Instances assessed: SQLQA5A · SQLQA5B · SQLQA5C · SQLQA5D    |    Source: SQL Server 2016 (13.0.7095.1)    |    Target: SQL Server 2025 on Windows    |    Assessment date: 15 September 2026</w:t>
      </w:r>
    </w:p>
    <w:p>
      <w:pPr>
        <w:pStyle w:val="Heading1"/>
        <w:pBdr>
          <w:bottom w:val="single" w:color="1F3864" w:sz="6" w:space="4"/>
        </w:pBdr>
        <w:spacing w:after="200" w:before="400"/>
      </w:pPr>
      <w:r>
        <w:rPr>
          <w:rFonts w:ascii="Calibri" w:cs="Calibri" w:eastAsia="Calibri" w:hAnsi="Calibri"/>
          <w:b/>
          <w:bCs/>
          <w:color w:val="1F3864"/>
          <w:sz w:val="30"/>
          <w:szCs w:val="30"/>
        </w:rPr>
        <w:t xml:space="preserve">What Is the Data Migration Assistant?</w:t>
      </w:r>
    </w:p>
    <w:p>
      <w:pPr>
        <w:spacing w:after="160" w:line="276"/>
      </w:pPr>
      <w:r>
        <w:rPr>
          <w:rFonts w:ascii="Calibri" w:cs="Calibri" w:eastAsia="Calibri" w:hAnsi="Calibri"/>
          <w:color w:val="262626"/>
          <w:sz w:val="21"/>
          <w:szCs w:val="21"/>
        </w:rPr>
        <w:t xml:space="preserve">The Data Migration Assistant (DMA) is a free Microsoft tool used to prepare for SQL Server migrations and upgrades. Pointed at a source instance and a chosen target platform, it inventories every database, checks each one against the compatibility rules for every SQL Server version between the source and the target, and reports two kinds of findings:</w:t>
      </w:r>
    </w:p>
    <w:p>
      <w:pPr>
        <w:pStyle w:val="ListParagraph"/>
        <w:numPr>
          <w:ilvl w:val="0"/>
          <w:numId w:val="1"/>
        </w:numPr>
        <w:spacing w:after="80" w:line="264"/>
      </w:pPr>
      <w:r>
        <w:rPr>
          <w:rFonts w:ascii="Calibri" w:cs="Calibri" w:eastAsia="Calibri" w:hAnsi="Calibri"/>
          <w:color w:val="262626"/>
          <w:sz w:val="21"/>
          <w:szCs w:val="21"/>
        </w:rPr>
        <w:t xml:space="preserve">Compatibility issues — breaking changes, behaviour changes, and deprecated syntax or features found in each database's schema and code, which may need remediation before or after migration.</w:t>
      </w:r>
    </w:p>
    <w:p>
      <w:pPr>
        <w:pStyle w:val="ListParagraph"/>
        <w:numPr>
          <w:ilvl w:val="0"/>
          <w:numId w:val="1"/>
        </w:numPr>
        <w:spacing w:after="80" w:line="264"/>
      </w:pPr>
      <w:r>
        <w:rPr>
          <w:rFonts w:ascii="Calibri" w:cs="Calibri" w:eastAsia="Calibri" w:hAnsi="Calibri"/>
          <w:color w:val="262626"/>
          <w:sz w:val="21"/>
          <w:szCs w:val="21"/>
        </w:rPr>
        <w:t xml:space="preserve">Feature parity issues — features available on the source server that are unsupported, discontinued, or changed on the target platform, reported at the server-instance level.</w:t>
      </w:r>
    </w:p>
    <w:p>
      <w:pPr>
        <w:spacing w:after="160" w:line="276"/>
      </w:pPr>
      <w:r>
        <w:rPr>
          <w:rFonts w:ascii="Calibri" w:cs="Calibri" w:eastAsia="Calibri" w:hAnsi="Calibri"/>
          <w:color w:val="262626"/>
          <w:sz w:val="21"/>
          <w:szCs w:val="21"/>
        </w:rPr>
        <w:t xml:space="preserve">Each finding carries a severity (Error, Warning or Information), an explanation of the impact, and a specific recommendation, so it can be used both to scope remediation work and to plan the cutover sequence.</w:t>
      </w:r>
    </w:p>
    <w:p>
      <w:pPr>
        <w:pStyle w:val="Heading1"/>
        <w:pBdr>
          <w:bottom w:val="single" w:color="1F3864" w:sz="6" w:space="4"/>
        </w:pBdr>
        <w:spacing w:after="200" w:before="400"/>
      </w:pPr>
      <w:r>
        <w:rPr>
          <w:rFonts w:ascii="Calibri" w:cs="Calibri" w:eastAsia="Calibri" w:hAnsi="Calibri"/>
          <w:b/>
          <w:bCs/>
          <w:color w:val="1F3864"/>
          <w:sz w:val="30"/>
          <w:szCs w:val="30"/>
        </w:rPr>
        <w:t xml:space="preserve">Executive Summary</w:t>
      </w:r>
    </w:p>
    <w:p>
      <w:pPr>
        <w:spacing w:after="160" w:line="276"/>
      </w:pPr>
      <w:r>
        <w:rPr>
          <w:rFonts w:ascii="Calibri" w:cs="Calibri" w:eastAsia="Calibri" w:hAnsi="Calibri"/>
          <w:color w:val="262626"/>
          <w:sz w:val="21"/>
          <w:szCs w:val="21"/>
        </w:rPr>
        <w:t xml:space="preserve">Four on-premises SQL Server 2016 instances (SQLQA5A–D), totalling 56 databases and roughly 713 GB of data, were assessed against a SQL Server 2025 (Windows) target. All four assessments completed successfully with no databases blocked from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1440"/>
        <w:gridCol w:w="1440"/>
        <w:gridCol w:w="1440"/>
      </w:tblGrid>
      <w:tr>
        <w:trPr>
          <w:tblHeader/>
        </w:trPr>
        <w:tc>
          <w:tcPr>
            <w:tcW w:type="dxa" w:w="288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Instance</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Databases</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Size (GB)</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Errors</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Warnings</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Info</w:t>
            </w:r>
          </w:p>
        </w:tc>
      </w:tr>
      <w:tr>
        <w:tc>
          <w:tcPr>
            <w:tcW w:type="dxa" w:w="288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SQLQA5A</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11</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44.8</w:t>
            </w:r>
          </w:p>
        </w:tc>
        <w:tc>
          <w:tcPr>
            <w:tcW w:type="dxa" w:w="144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4</w:t>
            </w:r>
          </w:p>
        </w:tc>
        <w:tc>
          <w:tcPr>
            <w:tcW w:type="dxa" w:w="1440"/>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16</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548235"/>
                <w:sz w:val="19"/>
                <w:szCs w:val="19"/>
              </w:rPr>
              <w:t xml:space="preserve">4</w:t>
            </w:r>
          </w:p>
        </w:tc>
      </w:tr>
      <w:tr>
        <w:tc>
          <w:tcPr>
            <w:tcW w:type="dxa" w:w="288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SQLQA5B</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13</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384.5</w:t>
            </w:r>
          </w:p>
        </w:tc>
        <w:tc>
          <w:tcPr>
            <w:tcW w:type="dxa" w:w="144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3</w:t>
            </w:r>
          </w:p>
        </w:tc>
        <w:tc>
          <w:tcPr>
            <w:tcW w:type="dxa" w:w="1440"/>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19</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548235"/>
                <w:sz w:val="19"/>
                <w:szCs w:val="19"/>
              </w:rPr>
              <w:t xml:space="preserve">9</w:t>
            </w:r>
          </w:p>
        </w:tc>
      </w:tr>
      <w:tr>
        <w:tc>
          <w:tcPr>
            <w:tcW w:type="dxa" w:w="288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SQLQA5C</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16</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209.0</w:t>
            </w:r>
          </w:p>
        </w:tc>
        <w:tc>
          <w:tcPr>
            <w:tcW w:type="dxa" w:w="144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7</w:t>
            </w:r>
          </w:p>
        </w:tc>
        <w:tc>
          <w:tcPr>
            <w:tcW w:type="dxa" w:w="1440"/>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29</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548235"/>
                <w:sz w:val="19"/>
                <w:szCs w:val="19"/>
              </w:rPr>
              <w:t xml:space="preserve">8</w:t>
            </w:r>
          </w:p>
        </w:tc>
      </w:tr>
      <w:tr>
        <w:tc>
          <w:tcPr>
            <w:tcW w:type="dxa" w:w="288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SQLQA5D</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16</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74.6</w:t>
            </w:r>
          </w:p>
        </w:tc>
        <w:tc>
          <w:tcPr>
            <w:tcW w:type="dxa" w:w="144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4</w:t>
            </w:r>
          </w:p>
        </w:tc>
        <w:tc>
          <w:tcPr>
            <w:tcW w:type="dxa" w:w="1440"/>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23</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548235"/>
                <w:sz w:val="19"/>
                <w:szCs w:val="19"/>
              </w:rPr>
              <w:t xml:space="preserve">8</w:t>
            </w:r>
          </w:p>
        </w:tc>
      </w:tr>
      <w:tr>
        <w:tc>
          <w:tcPr>
            <w:tcW w:type="dxa" w:w="2880"/>
            <w:shd w:fill="F2F2F2" w:color="auto"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TOTAL</w:t>
            </w:r>
          </w:p>
        </w:tc>
        <w:tc>
          <w:tcPr>
            <w:tcW w:type="dxa" w:w="144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56</w:t>
            </w:r>
          </w:p>
        </w:tc>
        <w:tc>
          <w:tcPr>
            <w:tcW w:type="dxa" w:w="144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713.0</w:t>
            </w:r>
          </w:p>
        </w:tc>
        <w:tc>
          <w:tcPr>
            <w:tcW w:type="dxa" w:w="144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18</w:t>
            </w:r>
          </w:p>
        </w:tc>
        <w:tc>
          <w:tcPr>
            <w:tcW w:type="dxa" w:w="144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87</w:t>
            </w:r>
          </w:p>
        </w:tc>
        <w:tc>
          <w:tcPr>
            <w:tcW w:type="dxa" w:w="144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548235"/>
                <w:sz w:val="19"/>
                <w:szCs w:val="19"/>
              </w:rPr>
              <w:t xml:space="preserve">29</w:t>
            </w:r>
          </w:p>
        </w:tc>
      </w:tr>
    </w:tbl>
    <w:p>
      <w:pPr>
        <w:spacing w:after="0" w:before="120"/>
      </w:pPr>
      <w:r>
        <w:rPr>
          <w:rFonts w:ascii="Calibri" w:cs="Calibri" w:eastAsia="Calibri" w:hAnsi="Calibri"/>
          <w:i/>
          <w:iCs/>
          <w:color w:val="595959"/>
          <w:sz w:val="17"/>
          <w:szCs w:val="17"/>
        </w:rPr>
        <w:t xml:space="preserve">Error counts include the one server-level Data Quality Services (DQS) finding present on every instance.</w:t>
      </w:r>
    </w:p>
    <w:p>
      <w:pPr>
        <w:spacing w:after="100" w:before="260"/>
      </w:pPr>
      <w:r>
        <w:rPr>
          <w:rFonts w:ascii="Calibri" w:cs="Calibri" w:eastAsia="Calibri" w:hAnsi="Calibri"/>
          <w:b/>
          <w:bCs/>
          <w:color w:val="1F3864"/>
          <w:sz w:val="22"/>
          <w:szCs w:val="22"/>
        </w:rPr>
        <w:t xml:space="preserve">Key takeaways</w:t>
      </w:r>
    </w:p>
    <w:p>
      <w:pPr>
        <w:pStyle w:val="ListParagraph"/>
        <w:numPr>
          <w:ilvl w:val="0"/>
          <w:numId w:val="1"/>
        </w:numPr>
        <w:spacing w:after="80" w:line="264"/>
      </w:pPr>
      <w:r>
        <w:rPr>
          <w:rFonts w:ascii="Calibri" w:cs="Calibri" w:eastAsia="Calibri" w:hAnsi="Calibri"/>
          <w:color w:val="262626"/>
          <w:sz w:val="21"/>
          <w:szCs w:val="21"/>
        </w:rPr>
        <w:t xml:space="preserve">Nothing found blocks migration outright — no critical/blocking-severity findings were reported, and every database was fully assessed except where noted below.</w:t>
      </w:r>
    </w:p>
    <w:p>
      <w:pPr>
        <w:pStyle w:val="ListParagraph"/>
        <w:numPr>
          <w:ilvl w:val="0"/>
          <w:numId w:val="1"/>
        </w:numPr>
        <w:spacing w:after="80" w:line="264"/>
      </w:pPr>
      <w:r>
        <w:rPr>
          <w:rFonts w:ascii="Calibri" w:cs="Calibri" w:eastAsia="Calibri" w:hAnsi="Calibri"/>
          <w:color w:val="262626"/>
          <w:sz w:val="21"/>
          <w:szCs w:val="21"/>
        </w:rPr>
        <w:t xml:space="preserve">Every instance and every database reported the same DQS retirement (Error) and autogrowth recommendation (Warning) — these are environment-wide, not database-specific.</w:t>
      </w:r>
    </w:p>
    <w:p>
      <w:pPr>
        <w:pStyle w:val="ListParagraph"/>
        <w:numPr>
          <w:ilvl w:val="0"/>
          <w:numId w:val="1"/>
        </w:numPr>
        <w:spacing w:after="80" w:line="264"/>
      </w:pPr>
      <w:r>
        <w:rPr>
          <w:rFonts w:ascii="Calibri" w:cs="Calibri" w:eastAsia="Calibri" w:hAnsi="Calibri"/>
          <w:color w:val="262626"/>
          <w:sz w:val="21"/>
          <w:szCs w:val="21"/>
        </w:rPr>
        <w:t xml:space="preserve">Genuine code-level Errors are concentrated in a small number of databases: TuxedoMessage (×4 instances), ywadmin (×4 instances), plus Waves, AI2, AIBackfill and SchematicsEdit.</w:t>
      </w:r>
    </w:p>
    <w:p>
      <w:pPr>
        <w:pStyle w:val="ListParagraph"/>
        <w:numPr>
          <w:ilvl w:val="0"/>
          <w:numId w:val="1"/>
        </w:numPr>
        <w:spacing w:after="80" w:line="264"/>
      </w:pPr>
      <w:r>
        <w:rPr>
          <w:rFonts w:ascii="Calibri" w:cs="Calibri" w:eastAsia="Calibri" w:hAnsi="Calibri"/>
          <w:color w:val="262626"/>
          <w:sz w:val="21"/>
          <w:szCs w:val="21"/>
        </w:rPr>
        <w:t xml:space="preserve">SQLQA5B carries the bulk of the data volume (~385 GB, dominated by the three SampManDB databases) but has the fewest Errors of any instance.</w:t>
      </w:r>
    </w:p>
    <w:p>
      <w:pPr>
        <w:pStyle w:val="ListParagraph"/>
        <w:numPr>
          <w:ilvl w:val="0"/>
          <w:numId w:val="1"/>
        </w:numPr>
        <w:spacing w:after="80" w:line="264"/>
      </w:pPr>
      <w:r>
        <w:rPr>
          <w:rFonts w:ascii="Calibri" w:cs="Calibri" w:eastAsia="Calibri" w:hAnsi="Calibri"/>
          <w:color w:val="262626"/>
          <w:sz w:val="21"/>
          <w:szCs w:val="21"/>
        </w:rPr>
        <w:t xml:space="preserve">SQLQA5C has both the most databases (16) and the most Errors (6+1 DQS) — it warrants the closest remediation review.</w:t>
      </w:r>
    </w:p>
    <w:p>
      <w:pPr>
        <w:pStyle w:val="Heading1"/>
        <w:pBdr>
          <w:bottom w:val="single" w:color="1F3864" w:sz="6" w:space="4"/>
        </w:pBdr>
        <w:spacing w:after="200" w:before="400"/>
      </w:pPr>
      <w:r>
        <w:rPr>
          <w:rFonts w:ascii="Calibri" w:cs="Calibri" w:eastAsia="Calibri" w:hAnsi="Calibri"/>
          <w:b/>
          <w:bCs/>
          <w:color w:val="1F3864"/>
          <w:sz w:val="30"/>
          <w:szCs w:val="30"/>
        </w:rPr>
        <w:t xml:space="preserve">Findings by Severity and Category</w:t>
      </w:r>
    </w:p>
    <w:p>
      <w:pPr>
        <w:spacing w:after="160" w:line="276"/>
      </w:pPr>
      <w:r>
        <w:rPr>
          <w:rFonts w:ascii="Calibri" w:cs="Calibri" w:eastAsia="Calibri" w:hAnsi="Calibri"/>
          <w:color w:val="262626"/>
          <w:sz w:val="21"/>
          <w:szCs w:val="21"/>
        </w:rPr>
        <w:t xml:space="preserve">Across all four instances, 130 distinct database-level issue types were identified (each counted once per database, independent of how many intermediate compatibility levels it was flagged under), all falling under the Compatibility category. In addition, each of the four server instances reported one FeatureParity Error for Data Quality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6000"/>
      </w:tblGrid>
      <w:tr>
        <w:trPr>
          <w:tblHeader/>
        </w:trPr>
        <w:tc>
          <w:tcPr>
            <w:tcW w:type="dxa" w:w="180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Severity</w:t>
            </w:r>
          </w:p>
        </w:tc>
        <w:tc>
          <w:tcPr>
            <w:tcW w:type="dxa" w:w="228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Occurrences</w:t>
            </w:r>
          </w:p>
        </w:tc>
        <w:tc>
          <w:tcPr>
            <w:tcW w:type="dxa" w:w="60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Meaning</w:t>
            </w:r>
          </w:p>
        </w:tc>
      </w:tr>
      <w:tr>
        <w:tc>
          <w:tcPr>
            <w:tcW w:type="dxa" w:w="1800"/>
            <w:tcMar>
              <w:top w:type="dxa" w:w="80"/>
              <w:left w:type="dxa" w:w="100"/>
              <w:bottom w:type="dxa" w:w="80"/>
              <w:right w:type="dxa" w:w="100"/>
            </w:tcMar>
            <w:vAlign w:val="center"/>
          </w:tcPr>
          <w:p>
            <w:pPr>
              <w:jc w:val="left"/>
            </w:pPr>
            <w:r>
              <w:rPr>
                <w:rFonts w:ascii="Calibri" w:cs="Calibri" w:eastAsia="Calibri" w:hAnsi="Calibri"/>
                <w:b/>
                <w:bCs/>
                <w:color w:val="C00000"/>
                <w:sz w:val="19"/>
                <w:szCs w:val="19"/>
              </w:rPr>
              <w:t xml:space="preserve">Error</w:t>
            </w:r>
          </w:p>
        </w:tc>
        <w:tc>
          <w:tcPr>
            <w:tcW w:type="dxa" w:w="2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14 (code-level) + 4 (DQS, server-level) = 18</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Breaking changes that will cause failures or incorrect behaviour on the target unless remediated.</w:t>
            </w:r>
          </w:p>
        </w:tc>
      </w:tr>
      <w:tr>
        <w:tc>
          <w:tcPr>
            <w:tcW w:type="dxa" w:w="1800"/>
            <w:tcMar>
              <w:top w:type="dxa" w:w="80"/>
              <w:left w:type="dxa" w:w="100"/>
              <w:bottom w:type="dxa" w:w="80"/>
              <w:right w:type="dxa" w:w="100"/>
            </w:tcMar>
            <w:vAlign w:val="center"/>
          </w:tcPr>
          <w:p>
            <w:pPr>
              <w:jc w:val="left"/>
            </w:pPr>
            <w:r>
              <w:rPr>
                <w:rFonts w:ascii="Calibri" w:cs="Calibri" w:eastAsia="Calibri" w:hAnsi="Calibri"/>
                <w:b/>
                <w:bCs/>
                <w:color w:val="C55A11"/>
                <w:sz w:val="19"/>
                <w:szCs w:val="19"/>
              </w:rPr>
              <w:t xml:space="preserve">Warning</w:t>
            </w:r>
          </w:p>
        </w:tc>
        <w:tc>
          <w:tcPr>
            <w:tcW w:type="dxa" w:w="2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87</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Behaviour changes or deprecated features that should be reviewed and are recommended, but not required, to fix before migrating.</w:t>
            </w:r>
          </w:p>
        </w:tc>
      </w:tr>
      <w:tr>
        <w:tc>
          <w:tcPr>
            <w:tcW w:type="dxa" w:w="1800"/>
            <w:tcMar>
              <w:top w:type="dxa" w:w="80"/>
              <w:left w:type="dxa" w:w="100"/>
              <w:bottom w:type="dxa" w:w="80"/>
              <w:right w:type="dxa" w:w="100"/>
            </w:tcMar>
            <w:vAlign w:val="center"/>
          </w:tcPr>
          <w:p>
            <w:pPr>
              <w:jc w:val="left"/>
            </w:pPr>
            <w:r>
              <w:rPr>
                <w:rFonts w:ascii="Calibri" w:cs="Calibri" w:eastAsia="Calibri" w:hAnsi="Calibri"/>
                <w:b/>
                <w:bCs/>
                <w:color w:val="548235"/>
                <w:sz w:val="19"/>
                <w:szCs w:val="19"/>
              </w:rPr>
              <w:t xml:space="preserve">Information</w:t>
            </w:r>
          </w:p>
        </w:tc>
        <w:tc>
          <w:tcPr>
            <w:tcW w:type="dxa" w:w="2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29</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Informational notices — mostly best-practice or output-format differences worth being aware of.</w:t>
            </w:r>
          </w:p>
        </w:tc>
      </w:tr>
    </w:tbl>
    <w:p>
      <w:pPr>
        <w:spacing w:after="100" w:before="260"/>
      </w:pPr>
      <w:r>
        <w:rPr>
          <w:rFonts w:ascii="Calibri" w:cs="Calibri" w:eastAsia="Calibri" w:hAnsi="Calibri"/>
          <w:b/>
          <w:bCs/>
          <w:color w:val="C00000"/>
          <w:sz w:val="22"/>
          <w:szCs w:val="22"/>
        </w:rPr>
        <w:t xml:space="preserve">Server-level: Data Quality Services (DQS) retirement</w:t>
      </w:r>
    </w:p>
    <w:p>
      <w:pPr>
        <w:spacing w:after="160" w:line="276"/>
      </w:pPr>
      <w:r>
        <w:rPr>
          <w:rFonts w:ascii="Calibri" w:cs="Calibri" w:eastAsia="Calibri" w:hAnsi="Calibri"/>
          <w:color w:val="262626"/>
          <w:sz w:val="21"/>
          <w:szCs w:val="21"/>
        </w:rPr>
        <w:t xml:space="preserve">Every one of the four instances also reported one server-level FeatureParity issue: Data Quality Services (DQS) is removed entirely in SQL Server 2025 and has no direct replacement in-box. If DQS is in active use on any of these instances, an alternative data-quality/cleansing approach needs to be identified before migrating; if it is unused, this can be closed with no action.</w:t>
      </w:r>
    </w:p>
    <w:p>
      <w:pPr>
        <w:pStyle w:val="Heading1"/>
        <w:pBdr>
          <w:bottom w:val="single" w:color="1F3864" w:sz="6" w:space="4"/>
        </w:pBdr>
        <w:spacing w:after="200" w:before="400"/>
      </w:pPr>
      <w:r>
        <w:rPr>
          <w:rFonts w:ascii="Calibri" w:cs="Calibri" w:eastAsia="Calibri" w:hAnsi="Calibri"/>
          <w:b/>
          <w:bCs/>
          <w:color w:val="1F3864"/>
          <w:sz w:val="30"/>
          <w:szCs w:val="30"/>
        </w:rPr>
        <w:t xml:space="preserve">Consolidated Findings by Rule</w:t>
      </w:r>
    </w:p>
    <w:p>
      <w:pPr>
        <w:spacing w:after="160" w:line="276"/>
      </w:pPr>
      <w:r>
        <w:rPr>
          <w:rFonts w:ascii="Calibri" w:cs="Calibri" w:eastAsia="Calibri" w:hAnsi="Calibri"/>
          <w:color w:val="262626"/>
          <w:sz w:val="21"/>
          <w:szCs w:val="21"/>
        </w:rPr>
        <w:t xml:space="preserve">Every distinct issue type found anywhere across the four instances, ranked by how many databases it affects. Counts are de-duplicated per database (i.e. the same issue flagged at compatibility levels 130 through 170 for one database counts once).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80"/>
        <w:gridCol w:w="4400"/>
      </w:tblGrid>
      <w:tr>
        <w:trPr>
          <w:tblHeader/>
        </w:trPr>
        <w:tc>
          <w:tcPr>
            <w:tcW w:type="dxa" w:w="320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Issue</w:t>
            </w:r>
          </w:p>
        </w:tc>
        <w:tc>
          <w:tcPr>
            <w:tcW w:type="dxa" w:w="12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Severity</w:t>
            </w:r>
          </w:p>
        </w:tc>
        <w:tc>
          <w:tcPr>
            <w:tcW w:type="dxa" w:w="128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 Databases</w:t>
            </w:r>
          </w:p>
        </w:tc>
        <w:tc>
          <w:tcPr>
            <w:tcW w:type="dxa" w:w="44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Recommended action</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Turn on autogrowth for all data and log files</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Warning</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52</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Source data/log files were found without autogrowth enabled. Enable autogrowth on the target SQL Server instance after migration as a contingency — it should not be relied on for day-to-day capacity management.</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Unqualified join(s) detected</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548235"/>
                <w:sz w:val="19"/>
                <w:szCs w:val="19"/>
              </w:rPr>
              <w:t xml:space="preserve">Information</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26</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Replace implicit comma-joins (FROM A, B WHERE A.x = B.x) with explicit ANSI JOIN syntax (INNER/LEFT/RIGHT/FULL JOIN).</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Deprecated data types: TEXT, IMAGE, NTEXT</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Warning</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19</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Migrate columns to varchar(max), nvarchar(max) or varbinary(max) as appropriate.</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ORDER BY specifies integer ordinal</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Warning</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15</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Replace ordinal positions in ORDER BY clauses with explicit column names or aliases.</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SQL Mail has been discontinued</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Error</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5</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Migrate to Database Mail, which runs out-of-process and does not require Extended MAPI components.</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Syntax issue on the source server</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Error</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4</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Review and fix the flagged syntax errors, then re-run the DMA assessment before migrating the database.</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CLR assemblies marked SAFE / EXTERNAL_ACCESS treated as UNSAFE</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Error</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4</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Sign the assemblies with a strong-name key pair (create a key pair, compile and sign the module) before migrating, per Microsoft's CLR strict-security guidance.</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SET ROWCOUNT used with INSERT/UPDATE/DELETE</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Error</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Rewrite the affected statements to use the TOP clause instead.</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Full-Text Search behaviour changed since SQL Server 2008</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Warning</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Re-test full-text search functionality thoroughly after migration; some settings may need adjustment.</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FOR XML AUTO derived-table reference change</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548235"/>
                <w:sz w:val="19"/>
                <w:szCs w:val="19"/>
              </w:rPr>
              <w:t xml:space="preserve">Information</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Review and update application code that parses FOR XML AUTO output involving derived tables.</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Encrypted objects not assessable by DMA</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548235"/>
                <w:sz w:val="19"/>
                <w:szCs w:val="19"/>
              </w:rPr>
              <w:t xml:space="preserve">Information</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Remove the WITH ENCRYPTION option where possible, or plan to migrate/validate these objects manually.</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References to undocumented system tables</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548235"/>
                <w:sz w:val="19"/>
                <w:szCs w:val="19"/>
              </w:rPr>
              <w:t xml:space="preserve">Information</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Identify and replace references to undocumented system tables with supported alternatives.</w:t>
            </w:r>
          </w:p>
        </w:tc>
      </w:tr>
    </w:tbl>
    <w:p>
      <w:pPr>
        <w:pStyle w:val="Heading1"/>
        <w:pBdr>
          <w:bottom w:val="single" w:color="1F3864" w:sz="6" w:space="4"/>
        </w:pBdr>
        <w:spacing w:after="200" w:before="400"/>
      </w:pPr>
      <w:r>
        <w:rPr>
          <w:rFonts w:ascii="Calibri" w:cs="Calibri" w:eastAsia="Calibri" w:hAnsi="Calibri"/>
          <w:b/>
          <w:bCs/>
          <w:color w:val="1F3864"/>
          <w:sz w:val="30"/>
          <w:szCs w:val="30"/>
        </w:rPr>
        <w:t xml:space="preserve">Priority Action Items (Error Severity)</w:t>
      </w:r>
    </w:p>
    <w:p>
      <w:pPr>
        <w:spacing w:after="160" w:line="276"/>
      </w:pPr>
      <w:r>
        <w:rPr>
          <w:rFonts w:ascii="Calibri" w:cs="Calibri" w:eastAsia="Calibri" w:hAnsi="Calibri"/>
          <w:color w:val="262626"/>
          <w:sz w:val="21"/>
          <w:szCs w:val="21"/>
        </w:rPr>
        <w:t xml:space="preserve">These are the findings that will cause actual breakage on the target platform and should be resolved before or as part of migration.</w:t>
      </w:r>
    </w:p>
    <w:p>
      <w:pPr>
        <w:spacing w:after="60" w:before="220"/>
      </w:pPr>
      <w:r>
        <w:rPr>
          <w:rFonts w:ascii="Calibri" w:cs="Calibri" w:eastAsia="Calibri" w:hAnsi="Calibri"/>
          <w:b/>
          <w:bCs/>
          <w:color w:val="C00000"/>
          <w:sz w:val="21"/>
          <w:szCs w:val="21"/>
        </w:rPr>
        <w:t xml:space="preserve">■ </w:t>
      </w:r>
      <w:r>
        <w:rPr>
          <w:rFonts w:ascii="Calibri" w:cs="Calibri" w:eastAsia="Calibri" w:hAnsi="Calibri"/>
          <w:b/>
          <w:bCs/>
          <w:color w:val="1F3864"/>
          <w:sz w:val="21"/>
          <w:szCs w:val="21"/>
        </w:rPr>
        <w:t xml:space="preserve">SQL Mail has been discontinued</w:t>
      </w:r>
    </w:p>
    <w:p>
      <w:pPr>
        <w:spacing w:after="40"/>
      </w:pPr>
      <w:r>
        <w:rPr>
          <w:rFonts w:ascii="Calibri" w:cs="Calibri" w:eastAsia="Calibri" w:hAnsi="Calibri"/>
          <w:b/>
          <w:bCs/>
          <w:sz w:val="19"/>
          <w:szCs w:val="19"/>
        </w:rPr>
        <w:t xml:space="preserve">Impact: </w:t>
      </w:r>
      <w:r>
        <w:rPr>
          <w:rFonts w:ascii="Calibri" w:cs="Calibri" w:eastAsia="Calibri" w:hAnsi="Calibri"/>
          <w:sz w:val="19"/>
          <w:szCs w:val="19"/>
        </w:rPr>
        <w:t xml:space="preserve">SQL Mail was removed starting with SQL Server 2012; it runs in-process, so a mail failure could take the whole instance down.</w:t>
      </w:r>
    </w:p>
    <w:p>
      <w:pPr>
        <w:spacing w:after="40"/>
      </w:pPr>
      <w:r>
        <w:rPr>
          <w:rFonts w:ascii="Calibri" w:cs="Calibri" w:eastAsia="Calibri" w:hAnsi="Calibri"/>
          <w:b/>
          <w:bCs/>
          <w:sz w:val="19"/>
          <w:szCs w:val="19"/>
        </w:rPr>
        <w:t xml:space="preserve">Fix: </w:t>
      </w:r>
      <w:r>
        <w:rPr>
          <w:rFonts w:ascii="Calibri" w:cs="Calibri" w:eastAsia="Calibri" w:hAnsi="Calibri"/>
          <w:sz w:val="19"/>
          <w:szCs w:val="19"/>
        </w:rPr>
        <w:t xml:space="preserve">Migrate to Database Mail, which runs out-of-process and does not require Extended MAPI components.</w:t>
      </w:r>
    </w:p>
    <w:p>
      <w:pPr>
        <w:spacing w:after="160"/>
      </w:pPr>
      <w:r>
        <w:rPr>
          <w:rFonts w:ascii="Calibri" w:cs="Calibri" w:eastAsia="Calibri" w:hAnsi="Calibri"/>
          <w:b/>
          <w:bCs/>
          <w:color w:val="595959"/>
          <w:sz w:val="19"/>
          <w:szCs w:val="19"/>
        </w:rPr>
        <w:t xml:space="preserve">Affected: </w:t>
      </w:r>
      <w:r>
        <w:rPr>
          <w:rFonts w:ascii="Calibri" w:cs="Calibri" w:eastAsia="Calibri" w:hAnsi="Calibri"/>
          <w:i/>
          <w:iCs/>
          <w:color w:val="595959"/>
          <w:sz w:val="19"/>
          <w:szCs w:val="19"/>
        </w:rPr>
        <w:t xml:space="preserve">SQLQA5A/TuxedoMessage, SQLQA5B/TuxedoMessage, SQLQA5C/AIBackfill, SQLQA5C/TuxedoMessage, SQLQA5D/TuxedoMessage</w:t>
      </w:r>
    </w:p>
    <w:p>
      <w:pPr>
        <w:spacing w:after="60" w:before="220"/>
      </w:pPr>
      <w:r>
        <w:rPr>
          <w:rFonts w:ascii="Calibri" w:cs="Calibri" w:eastAsia="Calibri" w:hAnsi="Calibri"/>
          <w:b/>
          <w:bCs/>
          <w:color w:val="C00000"/>
          <w:sz w:val="21"/>
          <w:szCs w:val="21"/>
        </w:rPr>
        <w:t xml:space="preserve">■ </w:t>
      </w:r>
      <w:r>
        <w:rPr>
          <w:rFonts w:ascii="Calibri" w:cs="Calibri" w:eastAsia="Calibri" w:hAnsi="Calibri"/>
          <w:b/>
          <w:bCs/>
          <w:color w:val="1F3864"/>
          <w:sz w:val="21"/>
          <w:szCs w:val="21"/>
        </w:rPr>
        <w:t xml:space="preserve">Syntax issue on the source server</w:t>
      </w:r>
    </w:p>
    <w:p>
      <w:pPr>
        <w:spacing w:after="40"/>
      </w:pPr>
      <w:r>
        <w:rPr>
          <w:rFonts w:ascii="Calibri" w:cs="Calibri" w:eastAsia="Calibri" w:hAnsi="Calibri"/>
          <w:b/>
          <w:bCs/>
          <w:sz w:val="19"/>
          <w:szCs w:val="19"/>
        </w:rPr>
        <w:t xml:space="preserve">Impact: </w:t>
      </w:r>
      <w:r>
        <w:rPr>
          <w:rFonts w:ascii="Calibri" w:cs="Calibri" w:eastAsia="Calibri" w:hAnsi="Calibri"/>
          <w:sz w:val="19"/>
          <w:szCs w:val="19"/>
        </w:rPr>
        <w:t xml:space="preserve">Schema parsing hit unsupported syntax, meaning some assessment rules could not run on the affected objects at all — the assessment for those objects is incomplete.</w:t>
      </w:r>
    </w:p>
    <w:p>
      <w:pPr>
        <w:spacing w:after="40"/>
      </w:pPr>
      <w:r>
        <w:rPr>
          <w:rFonts w:ascii="Calibri" w:cs="Calibri" w:eastAsia="Calibri" w:hAnsi="Calibri"/>
          <w:b/>
          <w:bCs/>
          <w:sz w:val="19"/>
          <w:szCs w:val="19"/>
        </w:rPr>
        <w:t xml:space="preserve">Fix: </w:t>
      </w:r>
      <w:r>
        <w:rPr>
          <w:rFonts w:ascii="Calibri" w:cs="Calibri" w:eastAsia="Calibri" w:hAnsi="Calibri"/>
          <w:sz w:val="19"/>
          <w:szCs w:val="19"/>
        </w:rPr>
        <w:t xml:space="preserve">Review and fix the flagged syntax errors, then re-run the DMA assessment before migrating the database.</w:t>
      </w:r>
    </w:p>
    <w:p>
      <w:pPr>
        <w:spacing w:after="160"/>
      </w:pPr>
      <w:r>
        <w:rPr>
          <w:rFonts w:ascii="Calibri" w:cs="Calibri" w:eastAsia="Calibri" w:hAnsi="Calibri"/>
          <w:b/>
          <w:bCs/>
          <w:color w:val="595959"/>
          <w:sz w:val="19"/>
          <w:szCs w:val="19"/>
        </w:rPr>
        <w:t xml:space="preserve">Affected: </w:t>
      </w:r>
      <w:r>
        <w:rPr>
          <w:rFonts w:ascii="Calibri" w:cs="Calibri" w:eastAsia="Calibri" w:hAnsi="Calibri"/>
          <w:i/>
          <w:iCs/>
          <w:color w:val="595959"/>
          <w:sz w:val="19"/>
          <w:szCs w:val="19"/>
        </w:rPr>
        <w:t xml:space="preserve">SQLQA5A/Waves, SQLQA5C/AI2, SQLQA5C/AIBackfill, SQLQA5D/SchematicsEdit</w:t>
      </w:r>
    </w:p>
    <w:p>
      <w:pPr>
        <w:spacing w:after="60" w:before="220"/>
      </w:pPr>
      <w:r>
        <w:rPr>
          <w:rFonts w:ascii="Calibri" w:cs="Calibri" w:eastAsia="Calibri" w:hAnsi="Calibri"/>
          <w:b/>
          <w:bCs/>
          <w:color w:val="C00000"/>
          <w:sz w:val="21"/>
          <w:szCs w:val="21"/>
        </w:rPr>
        <w:t xml:space="preserve">■ </w:t>
      </w:r>
      <w:r>
        <w:rPr>
          <w:rFonts w:ascii="Calibri" w:cs="Calibri" w:eastAsia="Calibri" w:hAnsi="Calibri"/>
          <w:b/>
          <w:bCs/>
          <w:color w:val="1F3864"/>
          <w:sz w:val="21"/>
          <w:szCs w:val="21"/>
        </w:rPr>
        <w:t xml:space="preserve">CLR assemblies marked SAFE / EXTERNAL_ACCESS treated as UNSAFE</w:t>
      </w:r>
    </w:p>
    <w:p>
      <w:pPr>
        <w:spacing w:after="40"/>
      </w:pPr>
      <w:r>
        <w:rPr>
          <w:rFonts w:ascii="Calibri" w:cs="Calibri" w:eastAsia="Calibri" w:hAnsi="Calibri"/>
          <w:b/>
          <w:bCs/>
          <w:sz w:val="19"/>
          <w:szCs w:val="19"/>
        </w:rPr>
        <w:t xml:space="preserve">Impact: </w:t>
      </w:r>
      <w:r>
        <w:rPr>
          <w:rFonts w:ascii="Calibri" w:cs="Calibri" w:eastAsia="Calibri" w:hAnsi="Calibri"/>
          <w:sz w:val="19"/>
          <w:szCs w:val="19"/>
        </w:rPr>
        <w:t xml:space="preserve">CLR Strict Security (default from SQL Server 2017) rejects unsigned SAFE/EXTERNAL_ACCESS assemblies — this is a breaking change on the target.</w:t>
      </w:r>
    </w:p>
    <w:p>
      <w:pPr>
        <w:spacing w:after="40"/>
      </w:pPr>
      <w:r>
        <w:rPr>
          <w:rFonts w:ascii="Calibri" w:cs="Calibri" w:eastAsia="Calibri" w:hAnsi="Calibri"/>
          <w:b/>
          <w:bCs/>
          <w:sz w:val="19"/>
          <w:szCs w:val="19"/>
        </w:rPr>
        <w:t xml:space="preserve">Fix: </w:t>
      </w:r>
      <w:r>
        <w:rPr>
          <w:rFonts w:ascii="Calibri" w:cs="Calibri" w:eastAsia="Calibri" w:hAnsi="Calibri"/>
          <w:sz w:val="19"/>
          <w:szCs w:val="19"/>
        </w:rPr>
        <w:t xml:space="preserve">Sign the assemblies with a strong-name key pair (create a key pair, compile and sign the module) before migrating, per Microsoft's CLR strict-security guidance.</w:t>
      </w:r>
    </w:p>
    <w:p>
      <w:pPr>
        <w:spacing w:after="160"/>
      </w:pPr>
      <w:r>
        <w:rPr>
          <w:rFonts w:ascii="Calibri" w:cs="Calibri" w:eastAsia="Calibri" w:hAnsi="Calibri"/>
          <w:b/>
          <w:bCs/>
          <w:color w:val="595959"/>
          <w:sz w:val="19"/>
          <w:szCs w:val="19"/>
        </w:rPr>
        <w:t xml:space="preserve">Affected: </w:t>
      </w:r>
      <w:r>
        <w:rPr>
          <w:rFonts w:ascii="Calibri" w:cs="Calibri" w:eastAsia="Calibri" w:hAnsi="Calibri"/>
          <w:i/>
          <w:iCs/>
          <w:color w:val="595959"/>
          <w:sz w:val="19"/>
          <w:szCs w:val="19"/>
        </w:rPr>
        <w:t xml:space="preserve">SQLQA5A/ywadmin, SQLQA5B/ywadmin, SQLQA5C/ywadmin, SQLQA5D/ywadmin</w:t>
      </w:r>
    </w:p>
    <w:p>
      <w:pPr>
        <w:spacing w:after="60" w:before="220"/>
      </w:pPr>
      <w:r>
        <w:rPr>
          <w:rFonts w:ascii="Calibri" w:cs="Calibri" w:eastAsia="Calibri" w:hAnsi="Calibri"/>
          <w:b/>
          <w:bCs/>
          <w:color w:val="C00000"/>
          <w:sz w:val="21"/>
          <w:szCs w:val="21"/>
        </w:rPr>
        <w:t xml:space="preserve">■ </w:t>
      </w:r>
      <w:r>
        <w:rPr>
          <w:rFonts w:ascii="Calibri" w:cs="Calibri" w:eastAsia="Calibri" w:hAnsi="Calibri"/>
          <w:b/>
          <w:bCs/>
          <w:color w:val="1F3864"/>
          <w:sz w:val="21"/>
          <w:szCs w:val="21"/>
        </w:rPr>
        <w:t xml:space="preserve">SET ROWCOUNT used with INSERT/UPDATE/DELETE</w:t>
      </w:r>
    </w:p>
    <w:p>
      <w:pPr>
        <w:spacing w:after="40"/>
      </w:pPr>
      <w:r>
        <w:rPr>
          <w:rFonts w:ascii="Calibri" w:cs="Calibri" w:eastAsia="Calibri" w:hAnsi="Calibri"/>
          <w:b/>
          <w:bCs/>
          <w:sz w:val="19"/>
          <w:szCs w:val="19"/>
        </w:rPr>
        <w:t xml:space="preserve">Impact: </w:t>
      </w:r>
      <w:r>
        <w:rPr>
          <w:rFonts w:ascii="Calibri" w:cs="Calibri" w:eastAsia="Calibri" w:hAnsi="Calibri"/>
          <w:sz w:val="19"/>
          <w:szCs w:val="19"/>
        </w:rPr>
        <w:t xml:space="preserve">SET ROWCOUNT stopped affecting DELETE/INSERT/UPDATE statements from SQL Server 2014 onward — logic relying on it will behave differently.</w:t>
      </w:r>
    </w:p>
    <w:p>
      <w:pPr>
        <w:spacing w:after="40"/>
      </w:pPr>
      <w:r>
        <w:rPr>
          <w:rFonts w:ascii="Calibri" w:cs="Calibri" w:eastAsia="Calibri" w:hAnsi="Calibri"/>
          <w:b/>
          <w:bCs/>
          <w:sz w:val="19"/>
          <w:szCs w:val="19"/>
        </w:rPr>
        <w:t xml:space="preserve">Fix: </w:t>
      </w:r>
      <w:r>
        <w:rPr>
          <w:rFonts w:ascii="Calibri" w:cs="Calibri" w:eastAsia="Calibri" w:hAnsi="Calibri"/>
          <w:sz w:val="19"/>
          <w:szCs w:val="19"/>
        </w:rPr>
        <w:t xml:space="preserve">Rewrite the affected statements to use the TOP clause instead.</w:t>
      </w:r>
    </w:p>
    <w:p>
      <w:pPr>
        <w:spacing w:after="160"/>
      </w:pPr>
      <w:r>
        <w:rPr>
          <w:rFonts w:ascii="Calibri" w:cs="Calibri" w:eastAsia="Calibri" w:hAnsi="Calibri"/>
          <w:b/>
          <w:bCs/>
          <w:color w:val="595959"/>
          <w:sz w:val="19"/>
          <w:szCs w:val="19"/>
        </w:rPr>
        <w:t xml:space="preserve">Affected: </w:t>
      </w:r>
      <w:r>
        <w:rPr>
          <w:rFonts w:ascii="Calibri" w:cs="Calibri" w:eastAsia="Calibri" w:hAnsi="Calibri"/>
          <w:i/>
          <w:iCs/>
          <w:color w:val="595959"/>
          <w:sz w:val="19"/>
          <w:szCs w:val="19"/>
        </w:rPr>
        <w:t xml:space="preserve">SQLQA5C/AI2</w:t>
      </w:r>
    </w:p>
    <w:p>
      <w:pPr>
        <w:spacing w:after="160" w:before="100"/>
      </w:pPr>
      <w:r>
        <w:rPr>
          <w:rFonts w:ascii="Calibri" w:cs="Calibri" w:eastAsia="Calibri" w:hAnsi="Calibri"/>
          <w:b/>
          <w:bCs/>
          <w:color w:val="C00000"/>
          <w:sz w:val="21"/>
          <w:szCs w:val="21"/>
        </w:rPr>
        <w:t xml:space="preserve">■ </w:t>
      </w:r>
      <w:r>
        <w:rPr>
          <w:rFonts w:ascii="Calibri" w:cs="Calibri" w:eastAsia="Calibri" w:hAnsi="Calibri"/>
          <w:b/>
          <w:bCs/>
          <w:color w:val="1F3864"/>
          <w:sz w:val="21"/>
          <w:szCs w:val="21"/>
        </w:rPr>
        <w:t xml:space="preserve">Data Quality Services (DQS) removed</w:t>
      </w:r>
    </w:p>
    <w:p>
      <w:pPr>
        <w:spacing w:after="160" w:line="276"/>
      </w:pPr>
      <w:r>
        <w:rPr>
          <w:rFonts w:ascii="Calibri" w:cs="Calibri" w:eastAsia="Calibri" w:hAnsi="Calibri"/>
          <w:color w:val="262626"/>
          <w:sz w:val="21"/>
          <w:szCs w:val="21"/>
        </w:rPr>
        <w:t xml:space="preserve">Every one of the four instances also reported one server-level FeatureParity issue: Data Quality Services (DQS) is removed entirely in SQL Server 2025 and has no direct replacement in-box. Affected: all four instances (server-level).</w:t>
      </w:r>
    </w:p>
    <w:p>
      <w:pPr>
        <w:pStyle w:val="Heading1"/>
        <w:pBdr>
          <w:bottom w:val="single" w:color="1F3864" w:sz="6" w:space="4"/>
        </w:pBdr>
        <w:spacing w:after="200" w:before="400"/>
      </w:pPr>
      <w:r>
        <w:rPr>
          <w:rFonts w:ascii="Calibri" w:cs="Calibri" w:eastAsia="Calibri" w:hAnsi="Calibri"/>
          <w:b/>
          <w:bCs/>
          <w:color w:val="1F3864"/>
          <w:sz w:val="30"/>
          <w:szCs w:val="30"/>
        </w:rPr>
        <w:t xml:space="preserve">Appendix: Database Inventory by Instance</w:t>
      </w:r>
    </w:p>
    <w:p>
      <w:pPr>
        <w:pStyle w:val="Heading2"/>
        <w:spacing w:after="140" w:before="300"/>
      </w:pPr>
      <w:r>
        <w:rPr>
          <w:rFonts w:ascii="Calibri" w:cs="Calibri" w:eastAsia="Calibri" w:hAnsi="Calibri"/>
          <w:b/>
          <w:bCs/>
          <w:color w:val="2E74B5"/>
          <w:sz w:val="24"/>
          <w:szCs w:val="24"/>
        </w:rPr>
        <w:t xml:space="preserve">SQLQA5A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rPr>
          <w:tblHeader/>
        </w:trPr>
        <w:tc>
          <w:tcPr>
            <w:tcW w:type="dxa" w:w="708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Database</w:t>
            </w:r>
          </w:p>
        </w:tc>
        <w:tc>
          <w:tcPr>
            <w:tcW w:type="dxa" w:w="30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Size (MB)</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EventServiceCache</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28</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InternalPaymentSystem</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4,096</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MandatoryLearningMatrix</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64</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NA</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350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Talas</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2,048</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TuxedoMessage</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2,048</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Waves</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125</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WMSDotsOnMaps</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7,168</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WMSExtract</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27,648</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WMSPIP</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1,536</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ywadmin</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768</w:t>
            </w:r>
          </w:p>
        </w:tc>
      </w:tr>
      <w:tr>
        <w:tc>
          <w:tcPr>
            <w:tcW w:type="dxa" w:w="7080"/>
            <w:shd w:fill="F2F2F2" w:color="auto"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Subtotal (11 databases)</w:t>
            </w:r>
          </w:p>
        </w:tc>
        <w:tc>
          <w:tcPr>
            <w:tcW w:type="dxa" w:w="300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45,879</w:t>
            </w:r>
          </w:p>
        </w:tc>
      </w:tr>
    </w:tbl>
    <w:p>
      <w:pPr>
        <w:spacing w:after="200"/>
      </w:pPr>
    </w:p>
    <w:p>
      <w:pPr>
        <w:pStyle w:val="Heading2"/>
        <w:spacing w:after="140" w:before="300"/>
      </w:pPr>
      <w:r>
        <w:rPr>
          <w:rFonts w:ascii="Calibri" w:cs="Calibri" w:eastAsia="Calibri" w:hAnsi="Calibri"/>
          <w:b/>
          <w:bCs/>
          <w:color w:val="2E74B5"/>
          <w:sz w:val="24"/>
          <w:szCs w:val="24"/>
        </w:rPr>
        <w:t xml:space="preserve">SQLQA5B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rPr>
          <w:tblHeader/>
        </w:trPr>
        <w:tc>
          <w:tcPr>
            <w:tcW w:type="dxa" w:w="708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Database</w:t>
            </w:r>
          </w:p>
        </w:tc>
        <w:tc>
          <w:tcPr>
            <w:tcW w:type="dxa" w:w="30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Size (MB)</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DASDataImport</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265</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DMSCourts</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25,600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KAM</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1,536</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Kofax</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2,048</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SampManDB</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114,688</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SampManDB_213</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133,372.1</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SampManDB_213_Purge</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104,448</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SMSAudit</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300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TMDB</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5,120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TuxedoMessage</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2,560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WRAPEdit</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1,536</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WRAPMaster</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1,536</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ywadmin</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768</w:t>
            </w:r>
          </w:p>
        </w:tc>
      </w:tr>
      <w:tr>
        <w:tc>
          <w:tcPr>
            <w:tcW w:type="dxa" w:w="7080"/>
            <w:shd w:fill="F2F2F2" w:color="auto"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Subtotal (13 databases)</w:t>
            </w:r>
          </w:p>
        </w:tc>
        <w:tc>
          <w:tcPr>
            <w:tcW w:type="dxa" w:w="300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393,777.1</w:t>
            </w:r>
          </w:p>
        </w:tc>
      </w:tr>
    </w:tbl>
    <w:p>
      <w:pPr>
        <w:spacing w:after="200"/>
      </w:pPr>
    </w:p>
    <w:p>
      <w:pPr>
        <w:pStyle w:val="Heading2"/>
        <w:spacing w:after="140" w:before="300"/>
      </w:pPr>
      <w:r>
        <w:rPr>
          <w:rFonts w:ascii="Calibri" w:cs="Calibri" w:eastAsia="Calibri" w:hAnsi="Calibri"/>
          <w:b/>
          <w:bCs/>
          <w:color w:val="2E74B5"/>
          <w:sz w:val="24"/>
          <w:szCs w:val="24"/>
        </w:rPr>
        <w:t xml:space="preserve">SQLQA5C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rPr>
          <w:tblHeader/>
        </w:trPr>
        <w:tc>
          <w:tcPr>
            <w:tcW w:type="dxa" w:w="708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Database</w:t>
            </w:r>
          </w:p>
        </w:tc>
        <w:tc>
          <w:tcPr>
            <w:tcW w:type="dxa" w:w="30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Size (MB)</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AI2</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61,440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AI2Retrieval</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51,200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AIBackfill</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10,240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AssetInventoryLocal</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6,593.5</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BathingWaterCSONotifications</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768</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BMSDB</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6,144</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BWCFE</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1,536</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DSS2</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5,120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RainfallRadarServices</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200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ReservoirSafety</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4,605.3</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SAPs4DataExtracts</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33,792</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SAPs4DataExtractsold</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25,600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SchematicsMaster</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832</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TedB</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4,572</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TuxedoMessage</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640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ywadmin</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768</w:t>
            </w:r>
          </w:p>
        </w:tc>
      </w:tr>
      <w:tr>
        <w:tc>
          <w:tcPr>
            <w:tcW w:type="dxa" w:w="7080"/>
            <w:shd w:fill="F2F2F2" w:color="auto"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Subtotal (16 databases)</w:t>
            </w:r>
          </w:p>
        </w:tc>
        <w:tc>
          <w:tcPr>
            <w:tcW w:type="dxa" w:w="300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214,050.8</w:t>
            </w:r>
          </w:p>
        </w:tc>
      </w:tr>
    </w:tbl>
    <w:p>
      <w:pPr>
        <w:spacing w:after="200"/>
      </w:pPr>
    </w:p>
    <w:p>
      <w:pPr>
        <w:pStyle w:val="Heading2"/>
        <w:spacing w:after="140" w:before="300"/>
      </w:pPr>
      <w:r>
        <w:rPr>
          <w:rFonts w:ascii="Calibri" w:cs="Calibri" w:eastAsia="Calibri" w:hAnsi="Calibri"/>
          <w:b/>
          <w:bCs/>
          <w:color w:val="2E74B5"/>
          <w:sz w:val="24"/>
          <w:szCs w:val="24"/>
        </w:rPr>
        <w:t xml:space="preserve">SQLQA5D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rPr>
          <w:tblHeader/>
        </w:trPr>
        <w:tc>
          <w:tcPr>
            <w:tcW w:type="dxa" w:w="708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Database</w:t>
            </w:r>
          </w:p>
        </w:tc>
        <w:tc>
          <w:tcPr>
            <w:tcW w:type="dxa" w:w="30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Size (MB)</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AssetDocumentManagementSystem</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10,240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DocumentManagement</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4,096</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OS_AddressBasePrem</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13,056</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OSB</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1,536</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PIFD</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18,778</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PIIntegratorDB</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1,536</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PIIntegratorLogs</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9,216</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PIIntegratorStats</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26.1</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PIML</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1,536</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PIVision</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2,048</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PropertyCopy</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10,240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SchematicsEdit</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150.5</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SchematicsMaster</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1,062</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TuxedoMessage</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1,536</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WORKSuite_YW</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600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ywadmin</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768</w:t>
            </w:r>
          </w:p>
        </w:tc>
      </w:tr>
      <w:tr>
        <w:tc>
          <w:tcPr>
            <w:tcW w:type="dxa" w:w="7080"/>
            <w:shd w:fill="F2F2F2" w:color="auto"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Subtotal (16 databases)</w:t>
            </w:r>
          </w:p>
        </w:tc>
        <w:tc>
          <w:tcPr>
            <w:tcW w:type="dxa" w:w="300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76,424.6</w:t>
            </w:r>
          </w:p>
        </w:tc>
      </w:tr>
    </w:tbl>
    <w:p>
      <w:pPr>
        <w:spacing w:after="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595959"/>
        <w:sz w:val="16"/>
        <w:szCs w:val="16"/>
      </w:rPr>
      <w:t xml:space="preserve">DMA Consolidated Overview — SQLQA5A–D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2026-09-15T13:43:27.783Z</dcterms:created>
  <dcterms:modified xsi:type="dcterms:W3CDTF">2026-09-15T13:43:27.783Z</dcterms:modified>
</cp:coreProperties>
</file>

<file path=docProps/custom.xml><?xml version="1.0" encoding="utf-8"?>
<Properties xmlns="http://schemas.openxmlformats.org/officeDocument/2006/custom-properties" xmlns:vt="http://schemas.openxmlformats.org/officeDocument/2006/docPropsVTypes"/>
</file>