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rFonts w:ascii="Calibri" w:cs="Calibri" w:eastAsia="Calibri" w:hAnsi="Calibri"/>
          <w:b/>
          <w:bCs/>
          <w:color w:val="1F3864"/>
          <w:sz w:val="44"/>
          <w:szCs w:val="44"/>
        </w:rPr>
        <w:t xml:space="preserve">SQL SERVER MIGRATION READINESS</w:t>
      </w:r>
    </w:p>
    <w:p>
      <w:pPr>
        <w:spacing w:after="100" w:before="0"/>
      </w:pPr>
      <w:r>
        <w:rPr>
          <w:rFonts w:ascii="Calibri" w:cs="Calibri" w:eastAsia="Calibri" w:hAnsi="Calibri"/>
          <w:color w:val="2E74B5"/>
          <w:sz w:val="30"/>
          <w:szCs w:val="30"/>
        </w:rPr>
        <w:t xml:space="preserve">Data Migration Assistant (DMA) — Assessment Overview</w:t>
      </w:r>
    </w:p>
    <w:p>
      <w:pPr>
        <w:pBdr>
          <w:bottom w:val="single" w:color="D9D9D9" w:sz="8" w:space="6"/>
        </w:pBdr>
        <w:spacing w:after="500" w:before="200"/>
      </w:pPr>
      <w:r>
        <w:rPr>
          <w:rFonts w:ascii="Calibri" w:cs="Calibri" w:eastAsia="Calibri" w:hAnsi="Calibri"/>
          <w:i/>
          <w:iCs/>
          <w:color w:val="595959"/>
          <w:sz w:val="18"/>
          <w:szCs w:val="18"/>
        </w:rPr>
        <w:t xml:space="preserve">Instance assessed: ICEQASql01    |    Source: SQL Server 2016 (13.0.7095.1)    |    Target: SQL Server 2025 on Windows    |    Assessment date: 15 September 2026</w:t>
      </w:r>
    </w:p>
    <w:p>
      <w:pPr>
        <w:pStyle w:val="Heading1"/>
        <w:pBdr>
          <w:bottom w:val="single" w:color="1F3864" w:sz="6" w:space="4"/>
        </w:pBdr>
        <w:spacing w:after="200" w:before="400"/>
      </w:pPr>
      <w:r>
        <w:rPr>
          <w:rFonts w:ascii="Calibri" w:cs="Calibri" w:eastAsia="Calibri" w:hAnsi="Calibri"/>
          <w:b/>
          <w:bCs/>
          <w:color w:val="1F3864"/>
          <w:sz w:val="30"/>
          <w:szCs w:val="30"/>
        </w:rPr>
        <w:t xml:space="preserve">What Is the Data Migration Assistant?</w:t>
      </w:r>
    </w:p>
    <w:p>
      <w:pPr>
        <w:spacing w:after="160" w:line="276"/>
      </w:pPr>
      <w:r>
        <w:rPr>
          <w:rFonts w:ascii="Calibri" w:cs="Calibri" w:eastAsia="Calibri" w:hAnsi="Calibri"/>
          <w:color w:val="262626"/>
          <w:sz w:val="21"/>
          <w:szCs w:val="21"/>
        </w:rPr>
        <w:t xml:space="preserve">The Data Migration Assistant (DMA) is a free Microsoft tool used to prepare for SQL Server migrations and upgrades. Pointed at a source instance and a chosen target platform, it inventories every database, checks each one against the compatibility rules for every SQL Server version between the source and the target, and reports two kinds of findings:</w:t>
      </w:r>
    </w:p>
    <w:p>
      <w:pPr>
        <w:pStyle w:val="ListParagraph"/>
        <w:numPr>
          <w:ilvl w:val="0"/>
          <w:numId w:val="1"/>
        </w:numPr>
        <w:spacing w:after="80" w:line="264"/>
      </w:pPr>
      <w:r>
        <w:rPr>
          <w:rFonts w:ascii="Calibri" w:cs="Calibri" w:eastAsia="Calibri" w:hAnsi="Calibri"/>
          <w:color w:val="262626"/>
          <w:sz w:val="21"/>
          <w:szCs w:val="21"/>
        </w:rPr>
        <w:t xml:space="preserve">Compatibility issues — breaking changes, behaviour changes, and deprecated syntax or features found in each database's schema and code, which may need remediation before or after migration.</w:t>
      </w:r>
    </w:p>
    <w:p>
      <w:pPr>
        <w:pStyle w:val="ListParagraph"/>
        <w:numPr>
          <w:ilvl w:val="0"/>
          <w:numId w:val="1"/>
        </w:numPr>
        <w:spacing w:after="80" w:line="264"/>
      </w:pPr>
      <w:r>
        <w:rPr>
          <w:rFonts w:ascii="Calibri" w:cs="Calibri" w:eastAsia="Calibri" w:hAnsi="Calibri"/>
          <w:color w:val="262626"/>
          <w:sz w:val="21"/>
          <w:szCs w:val="21"/>
        </w:rPr>
        <w:t xml:space="preserve">Feature parity issues — features available on the source server that are unsupported, discontinued, or changed on the target platform, reported at the server-instance level.</w:t>
      </w:r>
    </w:p>
    <w:p>
      <w:pPr>
        <w:spacing w:after="160" w:line="276"/>
      </w:pPr>
      <w:r>
        <w:rPr>
          <w:rFonts w:ascii="Calibri" w:cs="Calibri" w:eastAsia="Calibri" w:hAnsi="Calibri"/>
          <w:color w:val="262626"/>
          <w:sz w:val="21"/>
          <w:szCs w:val="21"/>
        </w:rPr>
        <w:t xml:space="preserve">Each finding carries a severity (Error, Warning or Information), an explanation of the impact, and a specific recommendation, so it can be used both to scope remediation work and to plan the cutover sequence.</w:t>
      </w:r>
    </w:p>
    <w:p>
      <w:pPr>
        <w:pStyle w:val="Heading1"/>
        <w:pBdr>
          <w:bottom w:val="single" w:color="1F3864" w:sz="6" w:space="4"/>
        </w:pBdr>
        <w:spacing w:after="200" w:before="400"/>
      </w:pPr>
      <w:r>
        <w:rPr>
          <w:rFonts w:ascii="Calibri" w:cs="Calibri" w:eastAsia="Calibri" w:hAnsi="Calibri"/>
          <w:b/>
          <w:bCs/>
          <w:color w:val="1F3864"/>
          <w:sz w:val="30"/>
          <w:szCs w:val="30"/>
        </w:rPr>
        <w:t xml:space="preserve">Executive Summary</w:t>
      </w:r>
    </w:p>
    <w:p>
      <w:pPr>
        <w:spacing w:after="160" w:line="276"/>
      </w:pPr>
      <w:r>
        <w:rPr>
          <w:rFonts w:ascii="Calibri" w:cs="Calibri" w:eastAsia="Calibri" w:hAnsi="Calibri"/>
          <w:color w:val="262626"/>
          <w:sz w:val="21"/>
          <w:szCs w:val="21"/>
        </w:rPr>
        <w:t xml:space="preserve">One on-premises SQL Server 2016 instance (ICEQASql01), holding 9 databases and roughly 59 GB of data, was assessed against a SQL Server 2025 (Windows) target. The assessment completed successfully with no databases blocked from assessment.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1440"/>
        <w:gridCol w:w="1440"/>
        <w:gridCol w:w="1440"/>
        <w:gridCol w:w="1440"/>
      </w:tblGrid>
      <w:tr>
        <w:trPr>
          <w:tblHeader/>
        </w:trPr>
        <w:tc>
          <w:tcPr>
            <w:tcW w:type="dxa" w:w="2880"/>
            <w:shd w:fill="1F3864"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Instance</w:t>
            </w:r>
          </w:p>
        </w:tc>
        <w:tc>
          <w:tcPr>
            <w:tcW w:type="dxa" w:w="144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Databases</w:t>
            </w:r>
          </w:p>
        </w:tc>
        <w:tc>
          <w:tcPr>
            <w:tcW w:type="dxa" w:w="144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Size (GB)</w:t>
            </w:r>
          </w:p>
        </w:tc>
        <w:tc>
          <w:tcPr>
            <w:tcW w:type="dxa" w:w="144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Errors</w:t>
            </w:r>
          </w:p>
        </w:tc>
        <w:tc>
          <w:tcPr>
            <w:tcW w:type="dxa" w:w="144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Warnings</w:t>
            </w:r>
          </w:p>
        </w:tc>
        <w:tc>
          <w:tcPr>
            <w:tcW w:type="dxa" w:w="144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Info</w:t>
            </w:r>
          </w:p>
        </w:tc>
      </w:tr>
      <w:tr>
        <w:tc>
          <w:tcPr>
            <w:tcW w:type="dxa" w:w="2880"/>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ICEQASql01</w:t>
            </w:r>
          </w:p>
        </w:tc>
        <w:tc>
          <w:tcPr>
            <w:tcW w:type="dxa" w:w="144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9</w:t>
            </w:r>
          </w:p>
        </w:tc>
        <w:tc>
          <w:tcPr>
            <w:tcW w:type="dxa" w:w="144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59.0</w:t>
            </w:r>
          </w:p>
        </w:tc>
        <w:tc>
          <w:tcPr>
            <w:tcW w:type="dxa" w:w="1440"/>
            <w:tcMar>
              <w:top w:type="dxa" w:w="80"/>
              <w:left w:type="dxa" w:w="100"/>
              <w:bottom w:type="dxa" w:w="80"/>
              <w:right w:type="dxa" w:w="100"/>
            </w:tcMar>
            <w:vAlign w:val="center"/>
          </w:tcPr>
          <w:p>
            <w:pPr>
              <w:jc w:val="center"/>
            </w:pPr>
            <w:r>
              <w:rPr>
                <w:rFonts w:ascii="Calibri" w:cs="Calibri" w:eastAsia="Calibri" w:hAnsi="Calibri"/>
                <w:b/>
                <w:bCs/>
                <w:color w:val="C00000"/>
                <w:sz w:val="19"/>
                <w:szCs w:val="19"/>
              </w:rPr>
              <w:t xml:space="preserve">7</w:t>
            </w:r>
          </w:p>
        </w:tc>
        <w:tc>
          <w:tcPr>
            <w:tcW w:type="dxa" w:w="1440"/>
            <w:tcMar>
              <w:top w:type="dxa" w:w="80"/>
              <w:left w:type="dxa" w:w="100"/>
              <w:bottom w:type="dxa" w:w="80"/>
              <w:right w:type="dxa" w:w="100"/>
            </w:tcMar>
            <w:vAlign w:val="center"/>
          </w:tcPr>
          <w:p>
            <w:pPr>
              <w:jc w:val="center"/>
            </w:pPr>
            <w:r>
              <w:rPr>
                <w:rFonts w:ascii="Calibri" w:cs="Calibri" w:eastAsia="Calibri" w:hAnsi="Calibri"/>
                <w:b/>
                <w:bCs/>
                <w:color w:val="C55A11"/>
                <w:sz w:val="19"/>
                <w:szCs w:val="19"/>
              </w:rPr>
              <w:t xml:space="preserve">18</w:t>
            </w:r>
          </w:p>
        </w:tc>
        <w:tc>
          <w:tcPr>
            <w:tcW w:type="dxa" w:w="1440"/>
            <w:tcMar>
              <w:top w:type="dxa" w:w="80"/>
              <w:left w:type="dxa" w:w="100"/>
              <w:bottom w:type="dxa" w:w="80"/>
              <w:right w:type="dxa" w:w="100"/>
            </w:tcMar>
            <w:vAlign w:val="center"/>
          </w:tcPr>
          <w:p>
            <w:pPr>
              <w:jc w:val="center"/>
            </w:pPr>
            <w:r>
              <w:rPr>
                <w:rFonts w:ascii="Calibri" w:cs="Calibri" w:eastAsia="Calibri" w:hAnsi="Calibri"/>
                <w:b w:val="false"/>
                <w:bCs w:val="false"/>
                <w:color w:val="548235"/>
                <w:sz w:val="19"/>
                <w:szCs w:val="19"/>
              </w:rPr>
              <w:t xml:space="preserve">4</w:t>
            </w:r>
          </w:p>
        </w:tc>
      </w:tr>
      <w:tr>
        <w:tc>
          <w:tcPr>
            <w:tcW w:type="dxa" w:w="2880"/>
            <w:shd w:fill="F2F2F2" w:color="auto" w:val="clear"/>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TOTAL</w:t>
            </w:r>
          </w:p>
        </w:tc>
        <w:tc>
          <w:tcPr>
            <w:tcW w:type="dxa" w:w="1440"/>
            <w:shd w:fill="F2F2F2" w:color="auto" w:val="clear"/>
            <w:tcMar>
              <w:top w:type="dxa" w:w="80"/>
              <w:left w:type="dxa" w:w="100"/>
              <w:bottom w:type="dxa" w:w="80"/>
              <w:right w:type="dxa" w:w="100"/>
            </w:tcMar>
            <w:vAlign w:val="center"/>
          </w:tcPr>
          <w:p>
            <w:pPr>
              <w:jc w:val="center"/>
            </w:pPr>
            <w:r>
              <w:rPr>
                <w:rFonts w:ascii="Calibri" w:cs="Calibri" w:eastAsia="Calibri" w:hAnsi="Calibri"/>
                <w:b/>
                <w:bCs/>
                <w:color w:val="262626"/>
                <w:sz w:val="19"/>
                <w:szCs w:val="19"/>
              </w:rPr>
              <w:t xml:space="preserve">9</w:t>
            </w:r>
          </w:p>
        </w:tc>
        <w:tc>
          <w:tcPr>
            <w:tcW w:type="dxa" w:w="1440"/>
            <w:shd w:fill="F2F2F2" w:color="auto" w:val="clear"/>
            <w:tcMar>
              <w:top w:type="dxa" w:w="80"/>
              <w:left w:type="dxa" w:w="100"/>
              <w:bottom w:type="dxa" w:w="80"/>
              <w:right w:type="dxa" w:w="100"/>
            </w:tcMar>
            <w:vAlign w:val="center"/>
          </w:tcPr>
          <w:p>
            <w:pPr>
              <w:jc w:val="center"/>
            </w:pPr>
            <w:r>
              <w:rPr>
                <w:rFonts w:ascii="Calibri" w:cs="Calibri" w:eastAsia="Calibri" w:hAnsi="Calibri"/>
                <w:b/>
                <w:bCs/>
                <w:color w:val="262626"/>
                <w:sz w:val="19"/>
                <w:szCs w:val="19"/>
              </w:rPr>
              <w:t xml:space="preserve">59.0</w:t>
            </w:r>
          </w:p>
        </w:tc>
        <w:tc>
          <w:tcPr>
            <w:tcW w:type="dxa" w:w="1440"/>
            <w:shd w:fill="F2F2F2" w:color="auto" w:val="clear"/>
            <w:tcMar>
              <w:top w:type="dxa" w:w="80"/>
              <w:left w:type="dxa" w:w="100"/>
              <w:bottom w:type="dxa" w:w="80"/>
              <w:right w:type="dxa" w:w="100"/>
            </w:tcMar>
            <w:vAlign w:val="center"/>
          </w:tcPr>
          <w:p>
            <w:pPr>
              <w:jc w:val="center"/>
            </w:pPr>
            <w:r>
              <w:rPr>
                <w:rFonts w:ascii="Calibri" w:cs="Calibri" w:eastAsia="Calibri" w:hAnsi="Calibri"/>
                <w:b/>
                <w:bCs/>
                <w:color w:val="C00000"/>
                <w:sz w:val="19"/>
                <w:szCs w:val="19"/>
              </w:rPr>
              <w:t xml:space="preserve">7</w:t>
            </w:r>
          </w:p>
        </w:tc>
        <w:tc>
          <w:tcPr>
            <w:tcW w:type="dxa" w:w="1440"/>
            <w:shd w:fill="F2F2F2" w:color="auto" w:val="clear"/>
            <w:tcMar>
              <w:top w:type="dxa" w:w="80"/>
              <w:left w:type="dxa" w:w="100"/>
              <w:bottom w:type="dxa" w:w="80"/>
              <w:right w:type="dxa" w:w="100"/>
            </w:tcMar>
            <w:vAlign w:val="center"/>
          </w:tcPr>
          <w:p>
            <w:pPr>
              <w:jc w:val="center"/>
            </w:pPr>
            <w:r>
              <w:rPr>
                <w:rFonts w:ascii="Calibri" w:cs="Calibri" w:eastAsia="Calibri" w:hAnsi="Calibri"/>
                <w:b/>
                <w:bCs/>
                <w:color w:val="C55A11"/>
                <w:sz w:val="19"/>
                <w:szCs w:val="19"/>
              </w:rPr>
              <w:t xml:space="preserve">18</w:t>
            </w:r>
          </w:p>
        </w:tc>
        <w:tc>
          <w:tcPr>
            <w:tcW w:type="dxa" w:w="1440"/>
            <w:shd w:fill="F2F2F2" w:color="auto" w:val="clear"/>
            <w:tcMar>
              <w:top w:type="dxa" w:w="80"/>
              <w:left w:type="dxa" w:w="100"/>
              <w:bottom w:type="dxa" w:w="80"/>
              <w:right w:type="dxa" w:w="100"/>
            </w:tcMar>
            <w:vAlign w:val="center"/>
          </w:tcPr>
          <w:p>
            <w:pPr>
              <w:jc w:val="center"/>
            </w:pPr>
            <w:r>
              <w:rPr>
                <w:rFonts w:ascii="Calibri" w:cs="Calibri" w:eastAsia="Calibri" w:hAnsi="Calibri"/>
                <w:b/>
                <w:bCs/>
                <w:color w:val="548235"/>
                <w:sz w:val="19"/>
                <w:szCs w:val="19"/>
              </w:rPr>
              <w:t xml:space="preserve">4</w:t>
            </w:r>
          </w:p>
        </w:tc>
      </w:tr>
    </w:tbl>
    <w:p>
      <w:pPr>
        <w:spacing w:after="0" w:before="120"/>
      </w:pPr>
      <w:r>
        <w:rPr>
          <w:rFonts w:ascii="Calibri" w:cs="Calibri" w:eastAsia="Calibri" w:hAnsi="Calibri"/>
          <w:i/>
          <w:iCs/>
          <w:color w:val="595959"/>
          <w:sz w:val="17"/>
          <w:szCs w:val="17"/>
        </w:rPr>
        <w:t xml:space="preserve">Error count includes the one server-level Data Quality Services (DQS) finding.</w:t>
      </w:r>
    </w:p>
    <w:p>
      <w:pPr>
        <w:spacing w:after="100" w:before="260"/>
      </w:pPr>
      <w:r>
        <w:rPr>
          <w:rFonts w:ascii="Calibri" w:cs="Calibri" w:eastAsia="Calibri" w:hAnsi="Calibri"/>
          <w:b/>
          <w:bCs/>
          <w:color w:val="1F3864"/>
          <w:sz w:val="22"/>
          <w:szCs w:val="22"/>
        </w:rPr>
        <w:t xml:space="preserve">Key takeaways</w:t>
      </w:r>
    </w:p>
    <w:p>
      <w:pPr>
        <w:pStyle w:val="ListParagraph"/>
        <w:numPr>
          <w:ilvl w:val="0"/>
          <w:numId w:val="1"/>
        </w:numPr>
        <w:spacing w:after="80" w:line="264"/>
      </w:pPr>
      <w:r>
        <w:rPr>
          <w:rFonts w:ascii="Calibri" w:cs="Calibri" w:eastAsia="Calibri" w:hAnsi="Calibri"/>
          <w:color w:val="262626"/>
          <w:sz w:val="21"/>
          <w:szCs w:val="21"/>
        </w:rPr>
        <w:t xml:space="preserve">Nothing found blocks migration outright — no critical/blocking-severity findings were reported, and every database was fully assessed.</w:t>
      </w:r>
    </w:p>
    <w:p>
      <w:pPr>
        <w:pStyle w:val="ListParagraph"/>
        <w:numPr>
          <w:ilvl w:val="0"/>
          <w:numId w:val="1"/>
        </w:numPr>
        <w:spacing w:after="80" w:line="264"/>
      </w:pPr>
      <w:r>
        <w:rPr>
          <w:rFonts w:ascii="Calibri" w:cs="Calibri" w:eastAsia="Calibri" w:hAnsi="Calibri"/>
          <w:color w:val="262626"/>
          <w:sz w:val="21"/>
          <w:szCs w:val="21"/>
        </w:rPr>
        <w:t xml:space="preserve">Every database reported the same autogrowth recommendation (Warning), and the instance as a whole reported the standard DQS retirement (Error, server-level).</w:t>
      </w:r>
    </w:p>
    <w:p>
      <w:pPr>
        <w:pStyle w:val="ListParagraph"/>
        <w:numPr>
          <w:ilvl w:val="0"/>
          <w:numId w:val="1"/>
        </w:numPr>
        <w:spacing w:after="80" w:line="264"/>
      </w:pPr>
      <w:r>
        <w:rPr>
          <w:rFonts w:ascii="Calibri" w:cs="Calibri" w:eastAsia="Calibri" w:hAnsi="Calibri"/>
          <w:color w:val="262626"/>
          <w:sz w:val="21"/>
          <w:szCs w:val="21"/>
        </w:rPr>
        <w:t xml:space="preserve">Three databases — DotsOnMaps, ICE and ProCommsImpact — hit source-schema syntax issues, meaning some assessment rules could not run on them at all; these need investigation before the rest of the assessment for those databases can be trusted.</w:t>
      </w:r>
    </w:p>
    <w:p>
      <w:pPr>
        <w:pStyle w:val="ListParagraph"/>
        <w:numPr>
          <w:ilvl w:val="0"/>
          <w:numId w:val="1"/>
        </w:numPr>
        <w:spacing w:after="80" w:line="264"/>
      </w:pPr>
      <w:r>
        <w:rPr>
          <w:rFonts w:ascii="Calibri" w:cs="Calibri" w:eastAsia="Calibri" w:hAnsi="Calibri"/>
          <w:color w:val="262626"/>
          <w:sz w:val="21"/>
          <w:szCs w:val="21"/>
        </w:rPr>
        <w:t xml:space="preserve">Two more Errors need code fixes before migration: unsigned CLR assemblies in ProCommsImpact and ywadmin, and a SET ROWCOUNT usage in ICEControl.</w:t>
      </w:r>
    </w:p>
    <w:p>
      <w:pPr>
        <w:pStyle w:val="ListParagraph"/>
        <w:numPr>
          <w:ilvl w:val="0"/>
          <w:numId w:val="1"/>
        </w:numPr>
        <w:spacing w:after="80" w:line="264"/>
      </w:pPr>
      <w:r>
        <w:rPr>
          <w:rFonts w:ascii="Calibri" w:cs="Calibri" w:eastAsia="Calibri" w:hAnsi="Calibri"/>
          <w:color w:val="262626"/>
          <w:sz w:val="21"/>
          <w:szCs w:val="21"/>
        </w:rPr>
        <w:t xml:space="preserve">ICEContactHistory is the largest database by far (~35 GB of the ~59 GB total) but carries only Warning/Information findings, not Errors.</w:t>
      </w:r>
    </w:p>
    <w:p>
      <w:pPr>
        <w:pStyle w:val="Heading1"/>
        <w:pBdr>
          <w:bottom w:val="single" w:color="1F3864" w:sz="6" w:space="4"/>
        </w:pBdr>
        <w:spacing w:after="200" w:before="400"/>
      </w:pPr>
      <w:r>
        <w:rPr>
          <w:rFonts w:ascii="Calibri" w:cs="Calibri" w:eastAsia="Calibri" w:hAnsi="Calibri"/>
          <w:b/>
          <w:bCs/>
          <w:color w:val="1F3864"/>
          <w:sz w:val="30"/>
          <w:szCs w:val="30"/>
        </w:rPr>
        <w:t xml:space="preserve">Findings by Severity and Category</w:t>
      </w:r>
    </w:p>
    <w:p>
      <w:pPr>
        <w:spacing w:after="160" w:line="276"/>
      </w:pPr>
      <w:r>
        <w:rPr>
          <w:rFonts w:ascii="Calibri" w:cs="Calibri" w:eastAsia="Calibri" w:hAnsi="Calibri"/>
          <w:color w:val="262626"/>
          <w:sz w:val="21"/>
          <w:szCs w:val="21"/>
        </w:rPr>
        <w:t xml:space="preserve">Across the instance's 9 databases, 22 distinct database-level issue occurrences were identified (each counted once per database, independent of how many intermediate compatibility levels it was flagged under), all falling under the Compatibility category. The server instance itself also reported one FeatureParity Error for Data Quality Services.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280"/>
        <w:gridCol w:w="6000"/>
      </w:tblGrid>
      <w:tr>
        <w:trPr>
          <w:tblHeader/>
        </w:trPr>
        <w:tc>
          <w:tcPr>
            <w:tcW w:type="dxa" w:w="1800"/>
            <w:shd w:fill="1F3864"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Severity</w:t>
            </w:r>
          </w:p>
        </w:tc>
        <w:tc>
          <w:tcPr>
            <w:tcW w:type="dxa" w:w="228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Occurrences</w:t>
            </w:r>
          </w:p>
        </w:tc>
        <w:tc>
          <w:tcPr>
            <w:tcW w:type="dxa" w:w="60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Meaning</w:t>
            </w:r>
          </w:p>
        </w:tc>
      </w:tr>
      <w:tr>
        <w:tc>
          <w:tcPr>
            <w:tcW w:type="dxa" w:w="1800"/>
            <w:tcMar>
              <w:top w:type="dxa" w:w="80"/>
              <w:left w:type="dxa" w:w="100"/>
              <w:bottom w:type="dxa" w:w="80"/>
              <w:right w:type="dxa" w:w="100"/>
            </w:tcMar>
            <w:vAlign w:val="center"/>
          </w:tcPr>
          <w:p>
            <w:pPr>
              <w:jc w:val="left"/>
            </w:pPr>
            <w:r>
              <w:rPr>
                <w:rFonts w:ascii="Calibri" w:cs="Calibri" w:eastAsia="Calibri" w:hAnsi="Calibri"/>
                <w:b/>
                <w:bCs/>
                <w:color w:val="C00000"/>
                <w:sz w:val="19"/>
                <w:szCs w:val="19"/>
              </w:rPr>
              <w:t xml:space="preserve">Error</w:t>
            </w:r>
          </w:p>
        </w:tc>
        <w:tc>
          <w:tcPr>
            <w:tcW w:type="dxa" w:w="228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6 (code-level) + 1 (DQS, server-level) = 7</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Breaking changes that will cause failures or incorrect behaviour on the target unless remediated.</w:t>
            </w:r>
          </w:p>
        </w:tc>
      </w:tr>
      <w:tr>
        <w:tc>
          <w:tcPr>
            <w:tcW w:type="dxa" w:w="1800"/>
            <w:tcMar>
              <w:top w:type="dxa" w:w="80"/>
              <w:left w:type="dxa" w:w="100"/>
              <w:bottom w:type="dxa" w:w="80"/>
              <w:right w:type="dxa" w:w="100"/>
            </w:tcMar>
            <w:vAlign w:val="center"/>
          </w:tcPr>
          <w:p>
            <w:pPr>
              <w:jc w:val="left"/>
            </w:pPr>
            <w:r>
              <w:rPr>
                <w:rFonts w:ascii="Calibri" w:cs="Calibri" w:eastAsia="Calibri" w:hAnsi="Calibri"/>
                <w:b/>
                <w:bCs/>
                <w:color w:val="C55A11"/>
                <w:sz w:val="19"/>
                <w:szCs w:val="19"/>
              </w:rPr>
              <w:t xml:space="preserve">Warning</w:t>
            </w:r>
          </w:p>
        </w:tc>
        <w:tc>
          <w:tcPr>
            <w:tcW w:type="dxa" w:w="228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18</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Behaviour changes or deprecated features that should be reviewed and are recommended, but not required, to fix before migrating.</w:t>
            </w:r>
          </w:p>
        </w:tc>
      </w:tr>
      <w:tr>
        <w:tc>
          <w:tcPr>
            <w:tcW w:type="dxa" w:w="1800"/>
            <w:tcMar>
              <w:top w:type="dxa" w:w="80"/>
              <w:left w:type="dxa" w:w="100"/>
              <w:bottom w:type="dxa" w:w="80"/>
              <w:right w:type="dxa" w:w="100"/>
            </w:tcMar>
            <w:vAlign w:val="center"/>
          </w:tcPr>
          <w:p>
            <w:pPr>
              <w:jc w:val="left"/>
            </w:pPr>
            <w:r>
              <w:rPr>
                <w:rFonts w:ascii="Calibri" w:cs="Calibri" w:eastAsia="Calibri" w:hAnsi="Calibri"/>
                <w:b/>
                <w:bCs/>
                <w:color w:val="548235"/>
                <w:sz w:val="19"/>
                <w:szCs w:val="19"/>
              </w:rPr>
              <w:t xml:space="preserve">Information</w:t>
            </w:r>
          </w:p>
        </w:tc>
        <w:tc>
          <w:tcPr>
            <w:tcW w:type="dxa" w:w="228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4</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Informational notices — mostly best-practice or output-format differences worth being aware of.</w:t>
            </w:r>
          </w:p>
        </w:tc>
      </w:tr>
    </w:tbl>
    <w:p>
      <w:pPr>
        <w:spacing w:after="100" w:before="260"/>
      </w:pPr>
      <w:r>
        <w:rPr>
          <w:rFonts w:ascii="Calibri" w:cs="Calibri" w:eastAsia="Calibri" w:hAnsi="Calibri"/>
          <w:b/>
          <w:bCs/>
          <w:color w:val="C00000"/>
          <w:sz w:val="22"/>
          <w:szCs w:val="22"/>
        </w:rPr>
        <w:t xml:space="preserve">Server-level: Data Quality Services (DQS) retirement</w:t>
      </w:r>
    </w:p>
    <w:p>
      <w:pPr>
        <w:spacing w:after="160" w:line="276"/>
      </w:pPr>
      <w:r>
        <w:rPr>
          <w:rFonts w:ascii="Calibri" w:cs="Calibri" w:eastAsia="Calibri" w:hAnsi="Calibri"/>
          <w:color w:val="262626"/>
          <w:sz w:val="21"/>
          <w:szCs w:val="21"/>
        </w:rPr>
        <w:t xml:space="preserve">The instance also reported one server-level FeatureParity issue: Data Quality Services (DQS) is removed entirely in SQL Server 2025 and has no direct replacement in-box. If DQS is in active use on this instance, an alternative data-quality/cleansing approach needs to be identified before migrating; if it is unused, this can be closed with no action.</w:t>
      </w:r>
    </w:p>
    <w:p>
      <w:pPr>
        <w:pStyle w:val="Heading1"/>
        <w:pBdr>
          <w:bottom w:val="single" w:color="1F3864" w:sz="6" w:space="4"/>
        </w:pBdr>
        <w:spacing w:after="200" w:before="400"/>
      </w:pPr>
      <w:r>
        <w:rPr>
          <w:rFonts w:ascii="Calibri" w:cs="Calibri" w:eastAsia="Calibri" w:hAnsi="Calibri"/>
          <w:b/>
          <w:bCs/>
          <w:color w:val="1F3864"/>
          <w:sz w:val="30"/>
          <w:szCs w:val="30"/>
        </w:rPr>
        <w:t xml:space="preserve">Consolidated Findings by Rule</w:t>
      </w:r>
    </w:p>
    <w:p>
      <w:pPr>
        <w:spacing w:after="160" w:line="276"/>
      </w:pPr>
      <w:r>
        <w:rPr>
          <w:rFonts w:ascii="Calibri" w:cs="Calibri" w:eastAsia="Calibri" w:hAnsi="Calibri"/>
          <w:color w:val="262626"/>
          <w:sz w:val="21"/>
          <w:szCs w:val="21"/>
        </w:rPr>
        <w:t xml:space="preserve">Every distinct issue type found on the instance, ranked by how many databases it affects. Counts are de-duplicated per database (i.e. the same issue flagged at compatibility levels 130 through 170 for one database counts once).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80"/>
        <w:gridCol w:w="4400"/>
      </w:tblGrid>
      <w:tr>
        <w:trPr>
          <w:tblHeader/>
        </w:trPr>
        <w:tc>
          <w:tcPr>
            <w:tcW w:type="dxa" w:w="3200"/>
            <w:shd w:fill="1F3864"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Issue</w:t>
            </w:r>
          </w:p>
        </w:tc>
        <w:tc>
          <w:tcPr>
            <w:tcW w:type="dxa" w:w="12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Severity</w:t>
            </w:r>
          </w:p>
        </w:tc>
        <w:tc>
          <w:tcPr>
            <w:tcW w:type="dxa" w:w="128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 Databases</w:t>
            </w:r>
          </w:p>
        </w:tc>
        <w:tc>
          <w:tcPr>
            <w:tcW w:type="dxa" w:w="44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Recommended action</w:t>
            </w:r>
          </w:p>
        </w:tc>
      </w:tr>
      <w:tr>
        <w:tc>
          <w:tcPr>
            <w:tcW w:type="dxa" w:w="3200"/>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Turn on autogrowth for all data and log files</w:t>
            </w:r>
          </w:p>
        </w:tc>
        <w:tc>
          <w:tcPr>
            <w:tcW w:type="dxa" w:w="1200"/>
            <w:tcMar>
              <w:top w:type="dxa" w:w="80"/>
              <w:left w:type="dxa" w:w="100"/>
              <w:bottom w:type="dxa" w:w="80"/>
              <w:right w:type="dxa" w:w="100"/>
            </w:tcMar>
            <w:vAlign w:val="center"/>
          </w:tcPr>
          <w:p>
            <w:pPr>
              <w:jc w:val="center"/>
            </w:pPr>
            <w:r>
              <w:rPr>
                <w:rFonts w:ascii="Calibri" w:cs="Calibri" w:eastAsia="Calibri" w:hAnsi="Calibri"/>
                <w:b/>
                <w:bCs/>
                <w:color w:val="C55A11"/>
                <w:sz w:val="19"/>
                <w:szCs w:val="19"/>
              </w:rPr>
              <w:t xml:space="preserve">Warning</w:t>
            </w:r>
          </w:p>
        </w:tc>
        <w:tc>
          <w:tcPr>
            <w:tcW w:type="dxa" w:w="128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9</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262626"/>
                <w:sz w:val="18"/>
                <w:szCs w:val="18"/>
              </w:rPr>
              <w:t xml:space="preserve">Source data/log files were found without autogrowth enabled. Enable autogrowth on the target SQL Server instance after migration as a contingency — it should not be relied on for day-to-day capacity management.</w:t>
            </w:r>
          </w:p>
        </w:tc>
      </w:tr>
      <w:tr>
        <w:tc>
          <w:tcPr>
            <w:tcW w:type="dxa" w:w="3200"/>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Deprecated data types: TEXT, IMAGE, NTEXT</w:t>
            </w:r>
          </w:p>
        </w:tc>
        <w:tc>
          <w:tcPr>
            <w:tcW w:type="dxa" w:w="1200"/>
            <w:tcMar>
              <w:top w:type="dxa" w:w="80"/>
              <w:left w:type="dxa" w:w="100"/>
              <w:bottom w:type="dxa" w:w="80"/>
              <w:right w:type="dxa" w:w="100"/>
            </w:tcMar>
            <w:vAlign w:val="center"/>
          </w:tcPr>
          <w:p>
            <w:pPr>
              <w:jc w:val="center"/>
            </w:pPr>
            <w:r>
              <w:rPr>
                <w:rFonts w:ascii="Calibri" w:cs="Calibri" w:eastAsia="Calibri" w:hAnsi="Calibri"/>
                <w:b/>
                <w:bCs/>
                <w:color w:val="C55A11"/>
                <w:sz w:val="19"/>
                <w:szCs w:val="19"/>
              </w:rPr>
              <w:t xml:space="preserve">Warning</w:t>
            </w:r>
          </w:p>
        </w:tc>
        <w:tc>
          <w:tcPr>
            <w:tcW w:type="dxa" w:w="128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6</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262626"/>
                <w:sz w:val="18"/>
                <w:szCs w:val="18"/>
              </w:rPr>
              <w:t xml:space="preserve">Migrate columns to varchar(max), nvarchar(max) or varbinary(max) as appropriate.</w:t>
            </w:r>
          </w:p>
        </w:tc>
      </w:tr>
      <w:tr>
        <w:tc>
          <w:tcPr>
            <w:tcW w:type="dxa" w:w="3200"/>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Unqualified join(s) detected</w:t>
            </w:r>
          </w:p>
        </w:tc>
        <w:tc>
          <w:tcPr>
            <w:tcW w:type="dxa" w:w="1200"/>
            <w:tcMar>
              <w:top w:type="dxa" w:w="80"/>
              <w:left w:type="dxa" w:w="100"/>
              <w:bottom w:type="dxa" w:w="80"/>
              <w:right w:type="dxa" w:w="100"/>
            </w:tcMar>
            <w:vAlign w:val="center"/>
          </w:tcPr>
          <w:p>
            <w:pPr>
              <w:jc w:val="center"/>
            </w:pPr>
            <w:r>
              <w:rPr>
                <w:rFonts w:ascii="Calibri" w:cs="Calibri" w:eastAsia="Calibri" w:hAnsi="Calibri"/>
                <w:b/>
                <w:bCs/>
                <w:color w:val="548235"/>
                <w:sz w:val="19"/>
                <w:szCs w:val="19"/>
              </w:rPr>
              <w:t xml:space="preserve">Information</w:t>
            </w:r>
          </w:p>
        </w:tc>
        <w:tc>
          <w:tcPr>
            <w:tcW w:type="dxa" w:w="128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4</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262626"/>
                <w:sz w:val="18"/>
                <w:szCs w:val="18"/>
              </w:rPr>
              <w:t xml:space="preserve">Replace implicit comma-joins (FROM A, B WHERE A.x = B.x) with explicit ANSI JOIN syntax (INNER/LEFT/RIGHT/FULL JOIN).</w:t>
            </w:r>
          </w:p>
        </w:tc>
      </w:tr>
      <w:tr>
        <w:tc>
          <w:tcPr>
            <w:tcW w:type="dxa" w:w="3200"/>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Syntax issue on the source server</w:t>
            </w:r>
          </w:p>
        </w:tc>
        <w:tc>
          <w:tcPr>
            <w:tcW w:type="dxa" w:w="1200"/>
            <w:tcMar>
              <w:top w:type="dxa" w:w="80"/>
              <w:left w:type="dxa" w:w="100"/>
              <w:bottom w:type="dxa" w:w="80"/>
              <w:right w:type="dxa" w:w="100"/>
            </w:tcMar>
            <w:vAlign w:val="center"/>
          </w:tcPr>
          <w:p>
            <w:pPr>
              <w:jc w:val="center"/>
            </w:pPr>
            <w:r>
              <w:rPr>
                <w:rFonts w:ascii="Calibri" w:cs="Calibri" w:eastAsia="Calibri" w:hAnsi="Calibri"/>
                <w:b/>
                <w:bCs/>
                <w:color w:val="C00000"/>
                <w:sz w:val="19"/>
                <w:szCs w:val="19"/>
              </w:rPr>
              <w:t xml:space="preserve">Error</w:t>
            </w:r>
          </w:p>
        </w:tc>
        <w:tc>
          <w:tcPr>
            <w:tcW w:type="dxa" w:w="128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3</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262626"/>
                <w:sz w:val="18"/>
                <w:szCs w:val="18"/>
              </w:rPr>
              <w:t xml:space="preserve">Review and fix the flagged syntax errors, then re-run the DMA assessment before migrating the database.</w:t>
            </w:r>
          </w:p>
        </w:tc>
      </w:tr>
      <w:tr>
        <w:tc>
          <w:tcPr>
            <w:tcW w:type="dxa" w:w="3200"/>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ORDER BY specifies integer ordinal</w:t>
            </w:r>
          </w:p>
        </w:tc>
        <w:tc>
          <w:tcPr>
            <w:tcW w:type="dxa" w:w="1200"/>
            <w:tcMar>
              <w:top w:type="dxa" w:w="80"/>
              <w:left w:type="dxa" w:w="100"/>
              <w:bottom w:type="dxa" w:w="80"/>
              <w:right w:type="dxa" w:w="100"/>
            </w:tcMar>
            <w:vAlign w:val="center"/>
          </w:tcPr>
          <w:p>
            <w:pPr>
              <w:jc w:val="center"/>
            </w:pPr>
            <w:r>
              <w:rPr>
                <w:rFonts w:ascii="Calibri" w:cs="Calibri" w:eastAsia="Calibri" w:hAnsi="Calibri"/>
                <w:b/>
                <w:bCs/>
                <w:color w:val="C55A11"/>
                <w:sz w:val="19"/>
                <w:szCs w:val="19"/>
              </w:rPr>
              <w:t xml:space="preserve">Warning</w:t>
            </w:r>
          </w:p>
        </w:tc>
        <w:tc>
          <w:tcPr>
            <w:tcW w:type="dxa" w:w="128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2</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262626"/>
                <w:sz w:val="18"/>
                <w:szCs w:val="18"/>
              </w:rPr>
              <w:t xml:space="preserve">Replace ordinal positions in ORDER BY clauses with explicit column names or aliases.</w:t>
            </w:r>
          </w:p>
        </w:tc>
      </w:tr>
      <w:tr>
        <w:tc>
          <w:tcPr>
            <w:tcW w:type="dxa" w:w="3200"/>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CLR assemblies marked SAFE / EXTERNAL_ACCESS treated as UNSAFE</w:t>
            </w:r>
          </w:p>
        </w:tc>
        <w:tc>
          <w:tcPr>
            <w:tcW w:type="dxa" w:w="1200"/>
            <w:tcMar>
              <w:top w:type="dxa" w:w="80"/>
              <w:left w:type="dxa" w:w="100"/>
              <w:bottom w:type="dxa" w:w="80"/>
              <w:right w:type="dxa" w:w="100"/>
            </w:tcMar>
            <w:vAlign w:val="center"/>
          </w:tcPr>
          <w:p>
            <w:pPr>
              <w:jc w:val="center"/>
            </w:pPr>
            <w:r>
              <w:rPr>
                <w:rFonts w:ascii="Calibri" w:cs="Calibri" w:eastAsia="Calibri" w:hAnsi="Calibri"/>
                <w:b/>
                <w:bCs/>
                <w:color w:val="C00000"/>
                <w:sz w:val="19"/>
                <w:szCs w:val="19"/>
              </w:rPr>
              <w:t xml:space="preserve">Error</w:t>
            </w:r>
          </w:p>
        </w:tc>
        <w:tc>
          <w:tcPr>
            <w:tcW w:type="dxa" w:w="128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2</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262626"/>
                <w:sz w:val="18"/>
                <w:szCs w:val="18"/>
              </w:rPr>
              <w:t xml:space="preserve">Sign the assemblies with a strong-name key pair (create a key pair, compile and sign the module) before migrating, per Microsoft's CLR strict-security guidance.</w:t>
            </w:r>
          </w:p>
        </w:tc>
      </w:tr>
      <w:tr>
        <w:tc>
          <w:tcPr>
            <w:tcW w:type="dxa" w:w="3200"/>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SET ROWCOUNT used with INSERT/UPDATE/DELETE</w:t>
            </w:r>
          </w:p>
        </w:tc>
        <w:tc>
          <w:tcPr>
            <w:tcW w:type="dxa" w:w="1200"/>
            <w:tcMar>
              <w:top w:type="dxa" w:w="80"/>
              <w:left w:type="dxa" w:w="100"/>
              <w:bottom w:type="dxa" w:w="80"/>
              <w:right w:type="dxa" w:w="100"/>
            </w:tcMar>
            <w:vAlign w:val="center"/>
          </w:tcPr>
          <w:p>
            <w:pPr>
              <w:jc w:val="center"/>
            </w:pPr>
            <w:r>
              <w:rPr>
                <w:rFonts w:ascii="Calibri" w:cs="Calibri" w:eastAsia="Calibri" w:hAnsi="Calibri"/>
                <w:b/>
                <w:bCs/>
                <w:color w:val="C00000"/>
                <w:sz w:val="19"/>
                <w:szCs w:val="19"/>
              </w:rPr>
              <w:t xml:space="preserve">Error</w:t>
            </w:r>
          </w:p>
        </w:tc>
        <w:tc>
          <w:tcPr>
            <w:tcW w:type="dxa" w:w="128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1</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262626"/>
                <w:sz w:val="18"/>
                <w:szCs w:val="18"/>
              </w:rPr>
              <w:t xml:space="preserve">Rewrite the affected statements to use the TOP clause instead.</w:t>
            </w:r>
          </w:p>
        </w:tc>
      </w:tr>
      <w:tr>
        <w:tc>
          <w:tcPr>
            <w:tcW w:type="dxa" w:w="3200"/>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Full-Text Search behaviour changed since SQL Server 2008</w:t>
            </w:r>
          </w:p>
        </w:tc>
        <w:tc>
          <w:tcPr>
            <w:tcW w:type="dxa" w:w="1200"/>
            <w:tcMar>
              <w:top w:type="dxa" w:w="80"/>
              <w:left w:type="dxa" w:w="100"/>
              <w:bottom w:type="dxa" w:w="80"/>
              <w:right w:type="dxa" w:w="100"/>
            </w:tcMar>
            <w:vAlign w:val="center"/>
          </w:tcPr>
          <w:p>
            <w:pPr>
              <w:jc w:val="center"/>
            </w:pPr>
            <w:r>
              <w:rPr>
                <w:rFonts w:ascii="Calibri" w:cs="Calibri" w:eastAsia="Calibri" w:hAnsi="Calibri"/>
                <w:b/>
                <w:bCs/>
                <w:color w:val="C55A11"/>
                <w:sz w:val="19"/>
                <w:szCs w:val="19"/>
              </w:rPr>
              <w:t xml:space="preserve">Warning</w:t>
            </w:r>
          </w:p>
        </w:tc>
        <w:tc>
          <w:tcPr>
            <w:tcW w:type="dxa" w:w="128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1</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262626"/>
                <w:sz w:val="18"/>
                <w:szCs w:val="18"/>
              </w:rPr>
              <w:t xml:space="preserve">Re-test full-text search functionality thoroughly after migration; some settings may need adjustment.</w:t>
            </w:r>
          </w:p>
        </w:tc>
      </w:tr>
    </w:tbl>
    <w:p>
      <w:pPr>
        <w:pStyle w:val="Heading1"/>
        <w:pBdr>
          <w:bottom w:val="single" w:color="1F3864" w:sz="6" w:space="4"/>
        </w:pBdr>
        <w:spacing w:after="200" w:before="400"/>
      </w:pPr>
      <w:r>
        <w:rPr>
          <w:rFonts w:ascii="Calibri" w:cs="Calibri" w:eastAsia="Calibri" w:hAnsi="Calibri"/>
          <w:b/>
          <w:bCs/>
          <w:color w:val="1F3864"/>
          <w:sz w:val="30"/>
          <w:szCs w:val="30"/>
        </w:rPr>
        <w:t xml:space="preserve">Priority Action Items (Error Severity)</w:t>
      </w:r>
    </w:p>
    <w:p>
      <w:pPr>
        <w:spacing w:after="160" w:line="276"/>
      </w:pPr>
      <w:r>
        <w:rPr>
          <w:rFonts w:ascii="Calibri" w:cs="Calibri" w:eastAsia="Calibri" w:hAnsi="Calibri"/>
          <w:color w:val="262626"/>
          <w:sz w:val="21"/>
          <w:szCs w:val="21"/>
        </w:rPr>
        <w:t xml:space="preserve">These are the findings that will cause actual breakage on the target platform and should be resolved before or as part of migration.</w:t>
      </w:r>
    </w:p>
    <w:p>
      <w:pPr>
        <w:spacing w:after="60" w:before="220"/>
      </w:pPr>
      <w:r>
        <w:rPr>
          <w:rFonts w:ascii="Calibri" w:cs="Calibri" w:eastAsia="Calibri" w:hAnsi="Calibri"/>
          <w:b/>
          <w:bCs/>
          <w:color w:val="C00000"/>
          <w:sz w:val="21"/>
          <w:szCs w:val="21"/>
        </w:rPr>
        <w:t xml:space="preserve">■ </w:t>
      </w:r>
      <w:r>
        <w:rPr>
          <w:rFonts w:ascii="Calibri" w:cs="Calibri" w:eastAsia="Calibri" w:hAnsi="Calibri"/>
          <w:b/>
          <w:bCs/>
          <w:color w:val="1F3864"/>
          <w:sz w:val="21"/>
          <w:szCs w:val="21"/>
        </w:rPr>
        <w:t xml:space="preserve">Syntax issue on the source server</w:t>
      </w:r>
    </w:p>
    <w:p>
      <w:pPr>
        <w:spacing w:after="40"/>
      </w:pPr>
      <w:r>
        <w:rPr>
          <w:rFonts w:ascii="Calibri" w:cs="Calibri" w:eastAsia="Calibri" w:hAnsi="Calibri"/>
          <w:b/>
          <w:bCs/>
          <w:sz w:val="19"/>
          <w:szCs w:val="19"/>
        </w:rPr>
        <w:t xml:space="preserve">Impact: </w:t>
      </w:r>
      <w:r>
        <w:rPr>
          <w:rFonts w:ascii="Calibri" w:cs="Calibri" w:eastAsia="Calibri" w:hAnsi="Calibri"/>
          <w:sz w:val="19"/>
          <w:szCs w:val="19"/>
        </w:rPr>
        <w:t xml:space="preserve">Schema parsing hit unsupported syntax, meaning some assessment rules could not run on the affected objects at all — the assessment for those objects is incomplete.</w:t>
      </w:r>
    </w:p>
    <w:p>
      <w:pPr>
        <w:spacing w:after="40"/>
      </w:pPr>
      <w:r>
        <w:rPr>
          <w:rFonts w:ascii="Calibri" w:cs="Calibri" w:eastAsia="Calibri" w:hAnsi="Calibri"/>
          <w:b/>
          <w:bCs/>
          <w:sz w:val="19"/>
          <w:szCs w:val="19"/>
        </w:rPr>
        <w:t xml:space="preserve">Fix: </w:t>
      </w:r>
      <w:r>
        <w:rPr>
          <w:rFonts w:ascii="Calibri" w:cs="Calibri" w:eastAsia="Calibri" w:hAnsi="Calibri"/>
          <w:sz w:val="19"/>
          <w:szCs w:val="19"/>
        </w:rPr>
        <w:t xml:space="preserve">Review and fix the flagged syntax errors, then re-run the DMA assessment before migrating the database.</w:t>
      </w:r>
    </w:p>
    <w:p>
      <w:pPr>
        <w:spacing w:after="160"/>
      </w:pPr>
      <w:r>
        <w:rPr>
          <w:rFonts w:ascii="Calibri" w:cs="Calibri" w:eastAsia="Calibri" w:hAnsi="Calibri"/>
          <w:b/>
          <w:bCs/>
          <w:color w:val="595959"/>
          <w:sz w:val="19"/>
          <w:szCs w:val="19"/>
        </w:rPr>
        <w:t xml:space="preserve">Affected: </w:t>
      </w:r>
      <w:r>
        <w:rPr>
          <w:rFonts w:ascii="Calibri" w:cs="Calibri" w:eastAsia="Calibri" w:hAnsi="Calibri"/>
          <w:i/>
          <w:iCs/>
          <w:color w:val="595959"/>
          <w:sz w:val="19"/>
          <w:szCs w:val="19"/>
        </w:rPr>
        <w:t xml:space="preserve">DotsOnMaps, ICE, ProCommsImpact</w:t>
      </w:r>
    </w:p>
    <w:p>
      <w:pPr>
        <w:spacing w:after="60" w:before="220"/>
      </w:pPr>
      <w:r>
        <w:rPr>
          <w:rFonts w:ascii="Calibri" w:cs="Calibri" w:eastAsia="Calibri" w:hAnsi="Calibri"/>
          <w:b/>
          <w:bCs/>
          <w:color w:val="C00000"/>
          <w:sz w:val="21"/>
          <w:szCs w:val="21"/>
        </w:rPr>
        <w:t xml:space="preserve">■ </w:t>
      </w:r>
      <w:r>
        <w:rPr>
          <w:rFonts w:ascii="Calibri" w:cs="Calibri" w:eastAsia="Calibri" w:hAnsi="Calibri"/>
          <w:b/>
          <w:bCs/>
          <w:color w:val="1F3864"/>
          <w:sz w:val="21"/>
          <w:szCs w:val="21"/>
        </w:rPr>
        <w:t xml:space="preserve">CLR assemblies marked SAFE / EXTERNAL_ACCESS treated as UNSAFE</w:t>
      </w:r>
    </w:p>
    <w:p>
      <w:pPr>
        <w:spacing w:after="40"/>
      </w:pPr>
      <w:r>
        <w:rPr>
          <w:rFonts w:ascii="Calibri" w:cs="Calibri" w:eastAsia="Calibri" w:hAnsi="Calibri"/>
          <w:b/>
          <w:bCs/>
          <w:sz w:val="19"/>
          <w:szCs w:val="19"/>
        </w:rPr>
        <w:t xml:space="preserve">Impact: </w:t>
      </w:r>
      <w:r>
        <w:rPr>
          <w:rFonts w:ascii="Calibri" w:cs="Calibri" w:eastAsia="Calibri" w:hAnsi="Calibri"/>
          <w:sz w:val="19"/>
          <w:szCs w:val="19"/>
        </w:rPr>
        <w:t xml:space="preserve">CLR Strict Security (default from SQL Server 2017) rejects unsigned SAFE/EXTERNAL_ACCESS assemblies — this is a breaking change on the target.</w:t>
      </w:r>
    </w:p>
    <w:p>
      <w:pPr>
        <w:spacing w:after="40"/>
      </w:pPr>
      <w:r>
        <w:rPr>
          <w:rFonts w:ascii="Calibri" w:cs="Calibri" w:eastAsia="Calibri" w:hAnsi="Calibri"/>
          <w:b/>
          <w:bCs/>
          <w:sz w:val="19"/>
          <w:szCs w:val="19"/>
        </w:rPr>
        <w:t xml:space="preserve">Fix: </w:t>
      </w:r>
      <w:r>
        <w:rPr>
          <w:rFonts w:ascii="Calibri" w:cs="Calibri" w:eastAsia="Calibri" w:hAnsi="Calibri"/>
          <w:sz w:val="19"/>
          <w:szCs w:val="19"/>
        </w:rPr>
        <w:t xml:space="preserve">Sign the assemblies with a strong-name key pair (create a key pair, compile and sign the module) before migrating, per Microsoft's CLR strict-security guidance.</w:t>
      </w:r>
    </w:p>
    <w:p>
      <w:pPr>
        <w:spacing w:after="160"/>
      </w:pPr>
      <w:r>
        <w:rPr>
          <w:rFonts w:ascii="Calibri" w:cs="Calibri" w:eastAsia="Calibri" w:hAnsi="Calibri"/>
          <w:b/>
          <w:bCs/>
          <w:color w:val="595959"/>
          <w:sz w:val="19"/>
          <w:szCs w:val="19"/>
        </w:rPr>
        <w:t xml:space="preserve">Affected: </w:t>
      </w:r>
      <w:r>
        <w:rPr>
          <w:rFonts w:ascii="Calibri" w:cs="Calibri" w:eastAsia="Calibri" w:hAnsi="Calibri"/>
          <w:i/>
          <w:iCs/>
          <w:color w:val="595959"/>
          <w:sz w:val="19"/>
          <w:szCs w:val="19"/>
        </w:rPr>
        <w:t xml:space="preserve">ProCommsImpact, ywadmin</w:t>
      </w:r>
    </w:p>
    <w:p>
      <w:pPr>
        <w:spacing w:after="60" w:before="220"/>
      </w:pPr>
      <w:r>
        <w:rPr>
          <w:rFonts w:ascii="Calibri" w:cs="Calibri" w:eastAsia="Calibri" w:hAnsi="Calibri"/>
          <w:b/>
          <w:bCs/>
          <w:color w:val="C00000"/>
          <w:sz w:val="21"/>
          <w:szCs w:val="21"/>
        </w:rPr>
        <w:t xml:space="preserve">■ </w:t>
      </w:r>
      <w:r>
        <w:rPr>
          <w:rFonts w:ascii="Calibri" w:cs="Calibri" w:eastAsia="Calibri" w:hAnsi="Calibri"/>
          <w:b/>
          <w:bCs/>
          <w:color w:val="1F3864"/>
          <w:sz w:val="21"/>
          <w:szCs w:val="21"/>
        </w:rPr>
        <w:t xml:space="preserve">SET ROWCOUNT used with INSERT/UPDATE/DELETE</w:t>
      </w:r>
    </w:p>
    <w:p>
      <w:pPr>
        <w:spacing w:after="40"/>
      </w:pPr>
      <w:r>
        <w:rPr>
          <w:rFonts w:ascii="Calibri" w:cs="Calibri" w:eastAsia="Calibri" w:hAnsi="Calibri"/>
          <w:b/>
          <w:bCs/>
          <w:sz w:val="19"/>
          <w:szCs w:val="19"/>
        </w:rPr>
        <w:t xml:space="preserve">Impact: </w:t>
      </w:r>
      <w:r>
        <w:rPr>
          <w:rFonts w:ascii="Calibri" w:cs="Calibri" w:eastAsia="Calibri" w:hAnsi="Calibri"/>
          <w:sz w:val="19"/>
          <w:szCs w:val="19"/>
        </w:rPr>
        <w:t xml:space="preserve">SET ROWCOUNT stopped affecting DELETE/INSERT/UPDATE statements from SQL Server 2014 onward — logic relying on it will behave differently.</w:t>
      </w:r>
    </w:p>
    <w:p>
      <w:pPr>
        <w:spacing w:after="40"/>
      </w:pPr>
      <w:r>
        <w:rPr>
          <w:rFonts w:ascii="Calibri" w:cs="Calibri" w:eastAsia="Calibri" w:hAnsi="Calibri"/>
          <w:b/>
          <w:bCs/>
          <w:sz w:val="19"/>
          <w:szCs w:val="19"/>
        </w:rPr>
        <w:t xml:space="preserve">Fix: </w:t>
      </w:r>
      <w:r>
        <w:rPr>
          <w:rFonts w:ascii="Calibri" w:cs="Calibri" w:eastAsia="Calibri" w:hAnsi="Calibri"/>
          <w:sz w:val="19"/>
          <w:szCs w:val="19"/>
        </w:rPr>
        <w:t xml:space="preserve">Rewrite the affected statements to use the TOP clause instead.</w:t>
      </w:r>
    </w:p>
    <w:p>
      <w:pPr>
        <w:spacing w:after="160"/>
      </w:pPr>
      <w:r>
        <w:rPr>
          <w:rFonts w:ascii="Calibri" w:cs="Calibri" w:eastAsia="Calibri" w:hAnsi="Calibri"/>
          <w:b/>
          <w:bCs/>
          <w:color w:val="595959"/>
          <w:sz w:val="19"/>
          <w:szCs w:val="19"/>
        </w:rPr>
        <w:t xml:space="preserve">Affected: </w:t>
      </w:r>
      <w:r>
        <w:rPr>
          <w:rFonts w:ascii="Calibri" w:cs="Calibri" w:eastAsia="Calibri" w:hAnsi="Calibri"/>
          <w:i/>
          <w:iCs/>
          <w:color w:val="595959"/>
          <w:sz w:val="19"/>
          <w:szCs w:val="19"/>
        </w:rPr>
        <w:t xml:space="preserve">ICEControl</w:t>
      </w:r>
    </w:p>
    <w:p>
      <w:pPr>
        <w:spacing w:after="160" w:before="100"/>
      </w:pPr>
      <w:r>
        <w:rPr>
          <w:rFonts w:ascii="Calibri" w:cs="Calibri" w:eastAsia="Calibri" w:hAnsi="Calibri"/>
          <w:b/>
          <w:bCs/>
          <w:color w:val="C00000"/>
          <w:sz w:val="21"/>
          <w:szCs w:val="21"/>
        </w:rPr>
        <w:t xml:space="preserve">■ </w:t>
      </w:r>
      <w:r>
        <w:rPr>
          <w:rFonts w:ascii="Calibri" w:cs="Calibri" w:eastAsia="Calibri" w:hAnsi="Calibri"/>
          <w:b/>
          <w:bCs/>
          <w:color w:val="1F3864"/>
          <w:sz w:val="21"/>
          <w:szCs w:val="21"/>
        </w:rPr>
        <w:t xml:space="preserve">Data Quality Services (DQS) removed</w:t>
      </w:r>
    </w:p>
    <w:p>
      <w:pPr>
        <w:spacing w:after="160" w:line="276"/>
      </w:pPr>
      <w:r>
        <w:rPr>
          <w:rFonts w:ascii="Calibri" w:cs="Calibri" w:eastAsia="Calibri" w:hAnsi="Calibri"/>
          <w:color w:val="262626"/>
          <w:sz w:val="21"/>
          <w:szCs w:val="21"/>
        </w:rPr>
        <w:t xml:space="preserve">The instance also reported one server-level FeatureParity issue: Data Quality Services (DQS) is removed entirely in SQL Server 2025 and has no direct replacement in-box. Affected: ICEQASql01 (server-level).</w:t>
      </w:r>
    </w:p>
    <w:p>
      <w:pPr>
        <w:pStyle w:val="Heading1"/>
        <w:pBdr>
          <w:bottom w:val="single" w:color="1F3864" w:sz="6" w:space="4"/>
        </w:pBdr>
        <w:spacing w:after="200" w:before="400"/>
      </w:pPr>
      <w:r>
        <w:rPr>
          <w:rFonts w:ascii="Calibri" w:cs="Calibri" w:eastAsia="Calibri" w:hAnsi="Calibri"/>
          <w:b/>
          <w:bCs/>
          <w:color w:val="1F3864"/>
          <w:sz w:val="30"/>
          <w:szCs w:val="30"/>
        </w:rPr>
        <w:t xml:space="preserve">Appendix: Database Inventory</w:t>
      </w:r>
    </w:p>
    <w:p>
      <w:pPr>
        <w:pStyle w:val="Heading2"/>
        <w:spacing w:after="140" w:before="300"/>
      </w:pPr>
      <w:r>
        <w:rPr>
          <w:rFonts w:ascii="Calibri" w:cs="Calibri" w:eastAsia="Calibri" w:hAnsi="Calibri"/>
          <w:b/>
          <w:bCs/>
          <w:color w:val="2E74B5"/>
          <w:sz w:val="24"/>
          <w:szCs w:val="24"/>
        </w:rPr>
        <w:t xml:space="preserve">ICEQASql01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rPr>
          <w:tblHeader/>
        </w:trPr>
        <w:tc>
          <w:tcPr>
            <w:tcW w:type="dxa" w:w="7080"/>
            <w:shd w:fill="1F3864"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Database</w:t>
            </w:r>
          </w:p>
        </w:tc>
        <w:tc>
          <w:tcPr>
            <w:tcW w:type="dxa" w:w="30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Size (MB)</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DotsOnMaps</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200</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ICE</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7,168</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ICEBW</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3,000</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ICEContactHistory</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35,840</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ICEControl</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3,072</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ICEIntegration</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10,228</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ICEMercatorMaps</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20</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ProCommsImpact</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153</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ywadmin</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768</w:t>
            </w:r>
          </w:p>
        </w:tc>
      </w:tr>
      <w:tr>
        <w:tc>
          <w:tcPr>
            <w:tcW w:type="dxa" w:w="7080"/>
            <w:shd w:fill="F2F2F2" w:color="auto" w:val="clear"/>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Subtotal (9 databases)</w:t>
            </w:r>
          </w:p>
        </w:tc>
        <w:tc>
          <w:tcPr>
            <w:tcW w:type="dxa" w:w="3000"/>
            <w:shd w:fill="F2F2F2" w:color="auto" w:val="clear"/>
            <w:tcMar>
              <w:top w:type="dxa" w:w="80"/>
              <w:left w:type="dxa" w:w="100"/>
              <w:bottom w:type="dxa" w:w="80"/>
              <w:right w:type="dxa" w:w="100"/>
            </w:tcMar>
            <w:vAlign w:val="center"/>
          </w:tcPr>
          <w:p>
            <w:pPr>
              <w:jc w:val="center"/>
            </w:pPr>
            <w:r>
              <w:rPr>
                <w:rFonts w:ascii="Calibri" w:cs="Calibri" w:eastAsia="Calibri" w:hAnsi="Calibri"/>
                <w:b/>
                <w:bCs/>
                <w:color w:val="262626"/>
                <w:sz w:val="19"/>
                <w:szCs w:val="19"/>
              </w:rPr>
              <w:t xml:space="preserve">60,449</w:t>
            </w:r>
          </w:p>
        </w:tc>
      </w:tr>
    </w:tbl>
    <w:p>
      <w:pPr>
        <w:spacing w:after="20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rFonts w:ascii="Calibri" w:cs="Calibri" w:eastAsia="Calibri" w:hAnsi="Calibri"/>
        <w:color w:val="595959"/>
        <w:sz w:val="16"/>
        <w:szCs w:val="16"/>
      </w:rPr>
      <w:t xml:space="preserve">DMA Overview — ICEQASql01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2026-09-15T15:00:39.896Z</dcterms:created>
  <dcterms:modified xsi:type="dcterms:W3CDTF">2026-09-15T15:00:39.898Z</dcterms:modified>
</cp:coreProperties>
</file>

<file path=docProps/custom.xml><?xml version="1.0" encoding="utf-8"?>
<Properties xmlns="http://schemas.openxmlformats.org/officeDocument/2006/custom-properties" xmlns:vt="http://schemas.openxmlformats.org/officeDocument/2006/docPropsVTypes"/>
</file>