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bCs/>
          <w:color w:val="1F3864"/>
          <w:sz w:val="44"/>
          <w:szCs w:val="44"/>
        </w:rPr>
        <w:t xml:space="preserve">SQL SERVER MIGRATION READINESS</w:t>
      </w:r>
    </w:p>
    <w:p>
      <w:pPr>
        <w:spacing w:after="100" w:before="0"/>
      </w:pPr>
      <w:r>
        <w:rPr>
          <w:rFonts w:ascii="Calibri" w:cs="Calibri" w:eastAsia="Calibri" w:hAnsi="Calibri"/>
          <w:color w:val="2E74B5"/>
          <w:sz w:val="30"/>
          <w:szCs w:val="30"/>
        </w:rPr>
        <w:t xml:space="preserve">Data Migration Assistant (DMA) — Consolidated Overview</w:t>
      </w:r>
    </w:p>
    <w:p>
      <w:pPr>
        <w:pBdr>
          <w:bottom w:val="single" w:color="D9D9D9" w:sz="8" w:space="6"/>
        </w:pBdr>
        <w:spacing w:after="500" w:before="200"/>
      </w:pPr>
      <w:r>
        <w:rPr>
          <w:rFonts w:ascii="Calibri" w:cs="Calibri" w:eastAsia="Calibri" w:hAnsi="Calibri"/>
          <w:i/>
          <w:iCs/>
          <w:color w:val="595959"/>
          <w:sz w:val="18"/>
          <w:szCs w:val="18"/>
        </w:rPr>
        <w:t xml:space="preserve">Instances assessed: BillQaSql4A · BillQaSql3A · BillQaRep4A · BillQaRep3A    |    Source: SQL Server 2016 (13.0.7095.1)    |    Target: SQL Server 2025 on Windows    |    Assessment date: 15 September 2026</w:t>
      </w:r>
    </w:p>
    <w:p>
      <w:pPr>
        <w:pStyle w:val="Heading1"/>
        <w:pBdr>
          <w:bottom w:val="single" w:color="1F3864" w:sz="6" w:space="4"/>
        </w:pBdr>
        <w:spacing w:after="200" w:before="400"/>
      </w:pPr>
      <w:r>
        <w:rPr>
          <w:rFonts w:ascii="Calibri" w:cs="Calibri" w:eastAsia="Calibri" w:hAnsi="Calibri"/>
          <w:b/>
          <w:bCs/>
          <w:color w:val="1F3864"/>
          <w:sz w:val="30"/>
          <w:szCs w:val="30"/>
        </w:rPr>
        <w:t xml:space="preserve">What Is the Data Migration Assistant?</w:t>
      </w:r>
    </w:p>
    <w:p>
      <w:pPr>
        <w:spacing w:after="160" w:line="276"/>
      </w:pPr>
      <w:r>
        <w:rPr>
          <w:rFonts w:ascii="Calibri" w:cs="Calibri" w:eastAsia="Calibri" w:hAnsi="Calibri"/>
          <w:color w:val="262626"/>
          <w:sz w:val="21"/>
          <w:szCs w:val="21"/>
        </w:rPr>
        <w:t xml:space="preserve">The Data Migration Assistant (DMA) is a free Microsoft tool used to prepare for SQL Server migrations and upgrades. Pointed at a source instance and a chosen target platform, it inventories every database, checks each one against the compatibility rules for every SQL Server version between the source and the target, and reports two kinds of findings:</w:t>
      </w:r>
    </w:p>
    <w:p>
      <w:pPr>
        <w:pStyle w:val="ListParagraph"/>
        <w:numPr>
          <w:ilvl w:val="0"/>
          <w:numId w:val="1"/>
        </w:numPr>
        <w:spacing w:after="80" w:line="264"/>
      </w:pPr>
      <w:r>
        <w:rPr>
          <w:rFonts w:ascii="Calibri" w:cs="Calibri" w:eastAsia="Calibri" w:hAnsi="Calibri"/>
          <w:color w:val="262626"/>
          <w:sz w:val="21"/>
          <w:szCs w:val="21"/>
        </w:rPr>
        <w:t xml:space="preserve">Compatibility issues — breaking changes, behaviour changes, and deprecated syntax or features found in each database's schema and code, which may need remediation before or after migration.</w:t>
      </w:r>
    </w:p>
    <w:p>
      <w:pPr>
        <w:pStyle w:val="ListParagraph"/>
        <w:numPr>
          <w:ilvl w:val="0"/>
          <w:numId w:val="1"/>
        </w:numPr>
        <w:spacing w:after="80" w:line="264"/>
      </w:pPr>
      <w:r>
        <w:rPr>
          <w:rFonts w:ascii="Calibri" w:cs="Calibri" w:eastAsia="Calibri" w:hAnsi="Calibri"/>
          <w:color w:val="262626"/>
          <w:sz w:val="21"/>
          <w:szCs w:val="21"/>
        </w:rPr>
        <w:t xml:space="preserve">Feature parity issues — features available on the source server that are unsupported, discontinued, or changed on the target platform, reported at the server-instance level.</w:t>
      </w:r>
    </w:p>
    <w:p>
      <w:pPr>
        <w:spacing w:after="160" w:line="276"/>
      </w:pPr>
      <w:r>
        <w:rPr>
          <w:rFonts w:ascii="Calibri" w:cs="Calibri" w:eastAsia="Calibri" w:hAnsi="Calibri"/>
          <w:color w:val="262626"/>
          <w:sz w:val="21"/>
          <w:szCs w:val="21"/>
        </w:rPr>
        <w:t xml:space="preserve">Each finding carries a severity (Error, Warning or Information), an explanation of the impact, and a specific recommendation, so it can be used both to scope remediation work and to plan the cutover sequence.</w:t>
      </w:r>
    </w:p>
    <w:p>
      <w:pPr>
        <w:pStyle w:val="Heading1"/>
        <w:pBdr>
          <w:bottom w:val="single" w:color="1F3864" w:sz="6" w:space="4"/>
        </w:pBdr>
        <w:spacing w:after="200" w:before="400"/>
      </w:pPr>
      <w:r>
        <w:rPr>
          <w:rFonts w:ascii="Calibri" w:cs="Calibri" w:eastAsia="Calibri" w:hAnsi="Calibri"/>
          <w:b/>
          <w:bCs/>
          <w:color w:val="1F3864"/>
          <w:sz w:val="30"/>
          <w:szCs w:val="30"/>
        </w:rPr>
        <w:t xml:space="preserve">Executive Summary</w:t>
      </w:r>
    </w:p>
    <w:p>
      <w:pPr>
        <w:spacing w:after="160" w:line="276"/>
      </w:pPr>
      <w:r>
        <w:rPr>
          <w:rFonts w:ascii="Calibri" w:cs="Calibri" w:eastAsia="Calibri" w:hAnsi="Calibri"/>
          <w:color w:val="262626"/>
          <w:sz w:val="21"/>
          <w:szCs w:val="21"/>
        </w:rPr>
        <w:t xml:space="preserve">Four on-premises SQL Server 2016 billing/reporting instances (BillQaSql4A, BillQaSql3A, BillQaRep4A, BillQaRep3A), totalling 18 databases and roughly 2.01 TB of data, were assessed against a SQL Server 2025 (Windows) target. Three of the four assessments (BillQaSql3A, BillQaRep4A, BillQaRep3A) exclude the core "Billing" database itself, which was assessed separately. All four assessments completed successfully with no databases blocked from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1440"/>
        <w:gridCol w:w="1440"/>
      </w:tblGrid>
      <w:tr>
        <w:trPr>
          <w:tblHeader/>
        </w:trPr>
        <w:tc>
          <w:tcPr>
            <w:tcW w:type="dxa" w:w="288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Instance</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Databases</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 (GB)</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Errors</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Warnings</w:t>
            </w:r>
          </w:p>
        </w:tc>
        <w:tc>
          <w:tcPr>
            <w:tcW w:type="dxa" w:w="144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Info</w:t>
            </w:r>
          </w:p>
        </w:tc>
      </w:tr>
      <w:tr>
        <w:tc>
          <w:tcPr>
            <w:tcW w:type="dxa" w:w="288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BillQaSql4A</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509.4</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2</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5</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548235"/>
                <w:sz w:val="19"/>
                <w:szCs w:val="19"/>
              </w:rPr>
              <w:t xml:space="preserve">1</w:t>
            </w:r>
          </w:p>
        </w:tc>
      </w:tr>
      <w:tr>
        <w:tc>
          <w:tcPr>
            <w:tcW w:type="dxa" w:w="288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BillQaSql3A</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0.8</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2</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1</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548235"/>
                <w:sz w:val="19"/>
                <w:szCs w:val="19"/>
              </w:rPr>
              <w:t xml:space="preserve">0</w:t>
            </w:r>
          </w:p>
        </w:tc>
      </w:tr>
      <w:tr>
        <w:tc>
          <w:tcPr>
            <w:tcW w:type="dxa" w:w="288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BillQaRep4A</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6</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489.4</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2</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2</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548235"/>
                <w:sz w:val="19"/>
                <w:szCs w:val="19"/>
              </w:rPr>
              <w:t xml:space="preserve">0</w:t>
            </w:r>
          </w:p>
        </w:tc>
      </w:tr>
      <w:tr>
        <w:tc>
          <w:tcPr>
            <w:tcW w:type="dxa" w:w="288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BillQaRep3A</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1058.8</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2</w:t>
            </w:r>
          </w:p>
        </w:tc>
        <w:tc>
          <w:tcPr>
            <w:tcW w:type="dxa" w:w="144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7</w:t>
            </w:r>
          </w:p>
        </w:tc>
        <w:tc>
          <w:tcPr>
            <w:tcW w:type="dxa" w:w="1440"/>
            <w:tcMar>
              <w:top w:type="dxa" w:w="80"/>
              <w:left w:type="dxa" w:w="100"/>
              <w:bottom w:type="dxa" w:w="80"/>
              <w:right w:type="dxa" w:w="100"/>
            </w:tcMar>
            <w:vAlign w:val="center"/>
          </w:tcPr>
          <w:p>
            <w:pPr>
              <w:jc w:val="center"/>
            </w:pPr>
            <w:r>
              <w:rPr>
                <w:rFonts w:ascii="Calibri" w:cs="Calibri" w:eastAsia="Calibri" w:hAnsi="Calibri"/>
                <w:b w:val="false"/>
                <w:bCs w:val="false"/>
                <w:color w:val="548235"/>
                <w:sz w:val="19"/>
                <w:szCs w:val="19"/>
              </w:rPr>
              <w:t xml:space="preserve">1</w:t>
            </w:r>
          </w:p>
        </w:tc>
      </w:tr>
      <w:tr>
        <w:tc>
          <w:tcPr>
            <w:tcW w:type="dxa" w:w="288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TOTAL</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18</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2058.4</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8</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15</w:t>
            </w:r>
          </w:p>
        </w:tc>
        <w:tc>
          <w:tcPr>
            <w:tcW w:type="dxa" w:w="144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548235"/>
                <w:sz w:val="19"/>
                <w:szCs w:val="19"/>
              </w:rPr>
              <w:t xml:space="preserve">2</w:t>
            </w:r>
          </w:p>
        </w:tc>
      </w:tr>
    </w:tbl>
    <w:p>
      <w:pPr>
        <w:spacing w:after="0" w:before="120"/>
      </w:pPr>
      <w:r>
        <w:rPr>
          <w:rFonts w:ascii="Calibri" w:cs="Calibri" w:eastAsia="Calibri" w:hAnsi="Calibri"/>
          <w:i/>
          <w:iCs/>
          <w:color w:val="595959"/>
          <w:sz w:val="17"/>
          <w:szCs w:val="17"/>
        </w:rPr>
        <w:t xml:space="preserve">Error counts include the one server-level Data Quality Services (DQS) finding present on every instance.</w:t>
      </w:r>
    </w:p>
    <w:p>
      <w:pPr>
        <w:spacing w:after="100" w:before="260"/>
      </w:pPr>
      <w:r>
        <w:rPr>
          <w:rFonts w:ascii="Calibri" w:cs="Calibri" w:eastAsia="Calibri" w:hAnsi="Calibri"/>
          <w:b/>
          <w:bCs/>
          <w:color w:val="1F3864"/>
          <w:sz w:val="22"/>
          <w:szCs w:val="22"/>
        </w:rPr>
        <w:t xml:space="preserve">Key takeaways</w:t>
      </w:r>
    </w:p>
    <w:p>
      <w:pPr>
        <w:pStyle w:val="ListParagraph"/>
        <w:numPr>
          <w:ilvl w:val="0"/>
          <w:numId w:val="1"/>
        </w:numPr>
        <w:spacing w:after="80" w:line="264"/>
      </w:pPr>
      <w:r>
        <w:rPr>
          <w:rFonts w:ascii="Calibri" w:cs="Calibri" w:eastAsia="Calibri" w:hAnsi="Calibri"/>
          <w:color w:val="262626"/>
          <w:sz w:val="21"/>
          <w:szCs w:val="21"/>
        </w:rPr>
        <w:t xml:space="preserve">Nothing found blocks migration outright — no critical/blocking-severity findings were reported, and every database was fully assessed.</w:t>
      </w:r>
    </w:p>
    <w:p>
      <w:pPr>
        <w:pStyle w:val="ListParagraph"/>
        <w:numPr>
          <w:ilvl w:val="0"/>
          <w:numId w:val="1"/>
        </w:numPr>
        <w:spacing w:after="80" w:line="264"/>
      </w:pPr>
      <w:r>
        <w:rPr>
          <w:rFonts w:ascii="Calibri" w:cs="Calibri" w:eastAsia="Calibri" w:hAnsi="Calibri"/>
          <w:color w:val="262626"/>
          <w:sz w:val="21"/>
          <w:szCs w:val="21"/>
        </w:rPr>
        <w:t xml:space="preserve">Every instance reported the same DQS retirement (Error, server-level) and the same CLR strict-security issue (Error) on its ywadmin database — these are environment-wide, not specific to the billing/reporting workload.</w:t>
      </w:r>
    </w:p>
    <w:p>
      <w:pPr>
        <w:pStyle w:val="ListParagraph"/>
        <w:numPr>
          <w:ilvl w:val="0"/>
          <w:numId w:val="1"/>
        </w:numPr>
        <w:spacing w:after="80" w:line="264"/>
      </w:pPr>
      <w:r>
        <w:rPr>
          <w:rFonts w:ascii="Calibri" w:cs="Calibri" w:eastAsia="Calibri" w:hAnsi="Calibri"/>
          <w:color w:val="262626"/>
          <w:sz w:val="21"/>
          <w:szCs w:val="21"/>
        </w:rPr>
        <w:t xml:space="preserve">The only other Errors found are the four CLR assembly findings; there are no SQL Mail, syntax, or encryption issues in this set of instances.</w:t>
      </w:r>
    </w:p>
    <w:p>
      <w:pPr>
        <w:pStyle w:val="ListParagraph"/>
        <w:numPr>
          <w:ilvl w:val="0"/>
          <w:numId w:val="1"/>
        </w:numPr>
        <w:spacing w:after="80" w:line="264"/>
      </w:pPr>
      <w:r>
        <w:rPr>
          <w:rFonts w:ascii="Calibri" w:cs="Calibri" w:eastAsia="Calibri" w:hAnsi="Calibri"/>
          <w:color w:val="262626"/>
          <w:sz w:val="21"/>
          <w:szCs w:val="21"/>
        </w:rPr>
        <w:t xml:space="preserve">BillQaRep3A carries the largest footprint (7 databases, ~1.03 TB, dominated by Billing_Reporting and Billing_Datamart) and the most Warning-level findings.</w:t>
      </w:r>
    </w:p>
    <w:p>
      <w:pPr>
        <w:pStyle w:val="ListParagraph"/>
        <w:numPr>
          <w:ilvl w:val="0"/>
          <w:numId w:val="1"/>
        </w:numPr>
        <w:spacing w:after="80" w:line="264"/>
      </w:pPr>
      <w:r>
        <w:rPr>
          <w:rFonts w:ascii="Calibri" w:cs="Calibri" w:eastAsia="Calibri" w:hAnsi="Calibri"/>
          <w:color w:val="262626"/>
          <w:sz w:val="21"/>
          <w:szCs w:val="21"/>
        </w:rPr>
        <w:t xml:space="preserve">BillQaSql3A is a minimal assessment (ywadmin only, since the Billing database was excluded) and reflects just the two environment-wide issues.</w:t>
      </w:r>
    </w:p>
    <w:p>
      <w:pPr>
        <w:pStyle w:val="Heading1"/>
        <w:pBdr>
          <w:bottom w:val="single" w:color="1F3864" w:sz="6" w:space="4"/>
        </w:pBdr>
        <w:spacing w:after="200" w:before="400"/>
      </w:pPr>
      <w:r>
        <w:rPr>
          <w:rFonts w:ascii="Calibri" w:cs="Calibri" w:eastAsia="Calibri" w:hAnsi="Calibri"/>
          <w:b/>
          <w:bCs/>
          <w:color w:val="1F3864"/>
          <w:sz w:val="30"/>
          <w:szCs w:val="30"/>
        </w:rPr>
        <w:t xml:space="preserve">Findings by Severity and Category</w:t>
      </w:r>
    </w:p>
    <w:p>
      <w:pPr>
        <w:spacing w:after="160" w:line="276"/>
      </w:pPr>
      <w:r>
        <w:rPr>
          <w:rFonts w:ascii="Calibri" w:cs="Calibri" w:eastAsia="Calibri" w:hAnsi="Calibri"/>
          <w:color w:val="262626"/>
          <w:sz w:val="21"/>
          <w:szCs w:val="21"/>
        </w:rPr>
        <w:t xml:space="preserve">Across all four instances, 21 distinct database-level issue occurrences were identified (each counted once per database, independent of how many intermediate compatibility levels it was flagged under), all falling under the Compatibility category. In addition, each of the four server instances reported one FeatureParity Error for Data Quality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6000"/>
      </w:tblGrid>
      <w:tr>
        <w:trPr>
          <w:tblHeader/>
        </w:trPr>
        <w:tc>
          <w:tcPr>
            <w:tcW w:type="dxa" w:w="18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Severity</w:t>
            </w:r>
          </w:p>
        </w:tc>
        <w:tc>
          <w:tcPr>
            <w:tcW w:type="dxa" w:w="228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Occurrences</w:t>
            </w:r>
          </w:p>
        </w:tc>
        <w:tc>
          <w:tcPr>
            <w:tcW w:type="dxa" w:w="6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Meaning</w:t>
            </w:r>
          </w:p>
        </w:tc>
      </w:tr>
      <w:tr>
        <w:tc>
          <w:tcPr>
            <w:tcW w:type="dxa" w:w="1800"/>
            <w:tcMar>
              <w:top w:type="dxa" w:w="80"/>
              <w:left w:type="dxa" w:w="100"/>
              <w:bottom w:type="dxa" w:w="80"/>
              <w:right w:type="dxa" w:w="100"/>
            </w:tcMar>
            <w:vAlign w:val="center"/>
          </w:tcPr>
          <w:p>
            <w:pPr>
              <w:jc w:val="left"/>
            </w:pPr>
            <w:r>
              <w:rPr>
                <w:rFonts w:ascii="Calibri" w:cs="Calibri" w:eastAsia="Calibri" w:hAnsi="Calibri"/>
                <w:b/>
                <w:bCs/>
                <w:color w:val="C00000"/>
                <w:sz w:val="19"/>
                <w:szCs w:val="19"/>
              </w:rPr>
              <w:t xml:space="preserve">Error</w:t>
            </w:r>
          </w:p>
        </w:tc>
        <w:tc>
          <w:tcPr>
            <w:tcW w:type="dxa" w:w="2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 (code-level) + 4 (DQS, server-level) = 8</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Breaking changes that will cause failures or incorrect behaviour on the target unless remediated.</w:t>
            </w:r>
          </w:p>
        </w:tc>
      </w:tr>
      <w:tr>
        <w:tc>
          <w:tcPr>
            <w:tcW w:type="dxa" w:w="1800"/>
            <w:tcMar>
              <w:top w:type="dxa" w:w="80"/>
              <w:left w:type="dxa" w:w="100"/>
              <w:bottom w:type="dxa" w:w="80"/>
              <w:right w:type="dxa" w:w="100"/>
            </w:tcMar>
            <w:vAlign w:val="center"/>
          </w:tcPr>
          <w:p>
            <w:pPr>
              <w:jc w:val="left"/>
            </w:pPr>
            <w:r>
              <w:rPr>
                <w:rFonts w:ascii="Calibri" w:cs="Calibri" w:eastAsia="Calibri" w:hAnsi="Calibri"/>
                <w:b/>
                <w:bCs/>
                <w:color w:val="C55A11"/>
                <w:sz w:val="19"/>
                <w:szCs w:val="19"/>
              </w:rPr>
              <w:t xml:space="preserve">Warning</w:t>
            </w:r>
          </w:p>
        </w:tc>
        <w:tc>
          <w:tcPr>
            <w:tcW w:type="dxa" w:w="2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Behaviour changes or deprecated features that should be reviewed and are recommended, but not required, to fix before migrating.</w:t>
            </w:r>
          </w:p>
        </w:tc>
      </w:tr>
      <w:tr>
        <w:tc>
          <w:tcPr>
            <w:tcW w:type="dxa" w:w="1800"/>
            <w:tcMar>
              <w:top w:type="dxa" w:w="80"/>
              <w:left w:type="dxa" w:w="100"/>
              <w:bottom w:type="dxa" w:w="80"/>
              <w:right w:type="dxa" w:w="100"/>
            </w:tcMar>
            <w:vAlign w:val="center"/>
          </w:tcPr>
          <w:p>
            <w:pPr>
              <w:jc w:val="left"/>
            </w:pPr>
            <w:r>
              <w:rPr>
                <w:rFonts w:ascii="Calibri" w:cs="Calibri" w:eastAsia="Calibri" w:hAnsi="Calibri"/>
                <w:b/>
                <w:bCs/>
                <w:color w:val="548235"/>
                <w:sz w:val="19"/>
                <w:szCs w:val="19"/>
              </w:rPr>
              <w:t xml:space="preserve">Information</w:t>
            </w:r>
          </w:p>
        </w:tc>
        <w:tc>
          <w:tcPr>
            <w:tcW w:type="dxa" w:w="2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Informational notices — mostly best-practice or output-format differences worth being aware of.</w:t>
            </w:r>
          </w:p>
        </w:tc>
      </w:tr>
    </w:tbl>
    <w:p>
      <w:pPr>
        <w:spacing w:after="100" w:before="260"/>
      </w:pPr>
      <w:r>
        <w:rPr>
          <w:rFonts w:ascii="Calibri" w:cs="Calibri" w:eastAsia="Calibri" w:hAnsi="Calibri"/>
          <w:b/>
          <w:bCs/>
          <w:color w:val="C00000"/>
          <w:sz w:val="22"/>
          <w:szCs w:val="22"/>
        </w:rPr>
        <w:t xml:space="preserve">Server-level: Data Quality Services (DQS) retirement</w:t>
      </w:r>
    </w:p>
    <w:p>
      <w:pPr>
        <w:spacing w:after="160" w:line="276"/>
      </w:pPr>
      <w:r>
        <w:rPr>
          <w:rFonts w:ascii="Calibri" w:cs="Calibri" w:eastAsia="Calibri" w:hAnsi="Calibri"/>
          <w:color w:val="262626"/>
          <w:sz w:val="21"/>
          <w:szCs w:val="21"/>
        </w:rPr>
        <w:t xml:space="preserve">Every one of the four instances also reported one server-level FeatureParity issue: Data Quality Services (DQS) is removed entirely in SQL Server 2025 and has no direct replacement in-box. If DQS is in active use on any of these instances, an alternative data-quality/cleansing approach needs to be identified before migrating; if it is unused, this can be closed with no action.</w:t>
      </w:r>
    </w:p>
    <w:p>
      <w:pPr>
        <w:pStyle w:val="Heading1"/>
        <w:pBdr>
          <w:bottom w:val="single" w:color="1F3864" w:sz="6" w:space="4"/>
        </w:pBdr>
        <w:spacing w:after="200" w:before="400"/>
      </w:pPr>
      <w:r>
        <w:rPr>
          <w:rFonts w:ascii="Calibri" w:cs="Calibri" w:eastAsia="Calibri" w:hAnsi="Calibri"/>
          <w:b/>
          <w:bCs/>
          <w:color w:val="1F3864"/>
          <w:sz w:val="30"/>
          <w:szCs w:val="30"/>
        </w:rPr>
        <w:t xml:space="preserve">Consolidated Findings by Rule</w:t>
      </w:r>
    </w:p>
    <w:p>
      <w:pPr>
        <w:spacing w:after="160" w:line="276"/>
      </w:pPr>
      <w:r>
        <w:rPr>
          <w:rFonts w:ascii="Calibri" w:cs="Calibri" w:eastAsia="Calibri" w:hAnsi="Calibri"/>
          <w:color w:val="262626"/>
          <w:sz w:val="21"/>
          <w:szCs w:val="21"/>
        </w:rPr>
        <w:t xml:space="preserve">Every distinct issue type found anywhere across the four instances, ranked by how many databases it affects. Counts are de-duplicated per database (i.e. the same issue flagged at compatibility levels 130 through 170 for one database counts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80"/>
        <w:gridCol w:w="4400"/>
      </w:tblGrid>
      <w:tr>
        <w:trPr>
          <w:tblHeader/>
        </w:trPr>
        <w:tc>
          <w:tcPr>
            <w:tcW w:type="dxa" w:w="320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Issue</w:t>
            </w:r>
          </w:p>
        </w:tc>
        <w:tc>
          <w:tcPr>
            <w:tcW w:type="dxa" w:w="12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Severity</w:t>
            </w:r>
          </w:p>
        </w:tc>
        <w:tc>
          <w:tcPr>
            <w:tcW w:type="dxa" w:w="128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 Databases</w:t>
            </w:r>
          </w:p>
        </w:tc>
        <w:tc>
          <w:tcPr>
            <w:tcW w:type="dxa" w:w="44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Recommended action</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Turn on autogrowth for all data and log files</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Warning</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9</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Source data/log files were found without autogrowth enabled. Enable autogrowth on the target SQL Server instance after migration as a contingency — it should not be relied on for day-to-day capacity management.</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Deprecated data types: TEXT, IMAGE, NTEXT</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Warning</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5</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Migrate columns to varchar(max), nvarchar(max) or varbinary(max) as appropriate.</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CLR assemblies marked SAFE / EXTERNAL_ACCESS treated as UNSAFE</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00000"/>
                <w:sz w:val="19"/>
                <w:szCs w:val="19"/>
              </w:rPr>
              <w:t xml:space="preserve">Error</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4</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Sign the assemblies with a strong-name key pair (create a key pair, compile and sign the module) before migrating, per Microsoft's CLR strict-security guidance.</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Unqualified join(s) detected</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548235"/>
                <w:sz w:val="19"/>
                <w:szCs w:val="19"/>
              </w:rPr>
              <w:t xml:space="preserve">Information</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Replace implicit comma-joins (FROM A, B WHERE A.x = B.x) with explicit ANSI JOIN syntax (INNER/LEFT/RIGHT/FULL JOIN).</w:t>
            </w:r>
          </w:p>
        </w:tc>
      </w:tr>
      <w:tr>
        <w:tc>
          <w:tcPr>
            <w:tcW w:type="dxa" w:w="3200"/>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ORDER BY specifies integer ordinal</w:t>
            </w:r>
          </w:p>
        </w:tc>
        <w:tc>
          <w:tcPr>
            <w:tcW w:type="dxa" w:w="1200"/>
            <w:tcMar>
              <w:top w:type="dxa" w:w="80"/>
              <w:left w:type="dxa" w:w="100"/>
              <w:bottom w:type="dxa" w:w="80"/>
              <w:right w:type="dxa" w:w="100"/>
            </w:tcMar>
            <w:vAlign w:val="center"/>
          </w:tcPr>
          <w:p>
            <w:pPr>
              <w:jc w:val="center"/>
            </w:pPr>
            <w:r>
              <w:rPr>
                <w:rFonts w:ascii="Calibri" w:cs="Calibri" w:eastAsia="Calibri" w:hAnsi="Calibri"/>
                <w:b/>
                <w:bCs/>
                <w:color w:val="C55A11"/>
                <w:sz w:val="19"/>
                <w:szCs w:val="19"/>
              </w:rPr>
              <w:t xml:space="preserve">Warning</w:t>
            </w:r>
          </w:p>
        </w:tc>
        <w:tc>
          <w:tcPr>
            <w:tcW w:type="dxa" w:w="128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w:t>
            </w:r>
          </w:p>
        </w:tc>
        <w:tc>
          <w:tcPr>
            <w:tcW w:type="dxa" w:w="4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8"/>
                <w:szCs w:val="18"/>
              </w:rPr>
              <w:t xml:space="preserve">Replace ordinal positions in ORDER BY clauses with explicit column names or aliases.</w:t>
            </w:r>
          </w:p>
        </w:tc>
      </w:tr>
    </w:tbl>
    <w:p>
      <w:pPr>
        <w:pStyle w:val="Heading1"/>
        <w:pBdr>
          <w:bottom w:val="single" w:color="1F3864" w:sz="6" w:space="4"/>
        </w:pBdr>
        <w:spacing w:after="200" w:before="400"/>
      </w:pPr>
      <w:r>
        <w:rPr>
          <w:rFonts w:ascii="Calibri" w:cs="Calibri" w:eastAsia="Calibri" w:hAnsi="Calibri"/>
          <w:b/>
          <w:bCs/>
          <w:color w:val="1F3864"/>
          <w:sz w:val="30"/>
          <w:szCs w:val="30"/>
        </w:rPr>
        <w:t xml:space="preserve">Priority Action Items (Error Severity)</w:t>
      </w:r>
    </w:p>
    <w:p>
      <w:pPr>
        <w:spacing w:after="160" w:line="276"/>
      </w:pPr>
      <w:r>
        <w:rPr>
          <w:rFonts w:ascii="Calibri" w:cs="Calibri" w:eastAsia="Calibri" w:hAnsi="Calibri"/>
          <w:color w:val="262626"/>
          <w:sz w:val="21"/>
          <w:szCs w:val="21"/>
        </w:rPr>
        <w:t xml:space="preserve">These are the findings that will cause actual breakage on the target platform and should be resolved before or as part of migration.</w:t>
      </w:r>
    </w:p>
    <w:p>
      <w:pPr>
        <w:spacing w:after="60" w:before="220"/>
      </w:pPr>
      <w:r>
        <w:rPr>
          <w:rFonts w:ascii="Calibri" w:cs="Calibri" w:eastAsia="Calibri" w:hAnsi="Calibri"/>
          <w:b/>
          <w:bCs/>
          <w:color w:val="C00000"/>
          <w:sz w:val="21"/>
          <w:szCs w:val="21"/>
        </w:rPr>
        <w:t xml:space="preserve">■ </w:t>
      </w:r>
      <w:r>
        <w:rPr>
          <w:rFonts w:ascii="Calibri" w:cs="Calibri" w:eastAsia="Calibri" w:hAnsi="Calibri"/>
          <w:b/>
          <w:bCs/>
          <w:color w:val="1F3864"/>
          <w:sz w:val="21"/>
          <w:szCs w:val="21"/>
        </w:rPr>
        <w:t xml:space="preserve">CLR assemblies marked SAFE / EXTERNAL_ACCESS treated as UNSAFE</w:t>
      </w:r>
    </w:p>
    <w:p>
      <w:pPr>
        <w:spacing w:after="40"/>
      </w:pPr>
      <w:r>
        <w:rPr>
          <w:rFonts w:ascii="Calibri" w:cs="Calibri" w:eastAsia="Calibri" w:hAnsi="Calibri"/>
          <w:b/>
          <w:bCs/>
          <w:sz w:val="19"/>
          <w:szCs w:val="19"/>
        </w:rPr>
        <w:t xml:space="preserve">Impact: </w:t>
      </w:r>
      <w:r>
        <w:rPr>
          <w:rFonts w:ascii="Calibri" w:cs="Calibri" w:eastAsia="Calibri" w:hAnsi="Calibri"/>
          <w:sz w:val="19"/>
          <w:szCs w:val="19"/>
        </w:rPr>
        <w:t xml:space="preserve">CLR Strict Security (default from SQL Server 2017) rejects unsigned SAFE/EXTERNAL_ACCESS assemblies — this is a breaking change on the target.</w:t>
      </w:r>
    </w:p>
    <w:p>
      <w:pPr>
        <w:spacing w:after="40"/>
      </w:pPr>
      <w:r>
        <w:rPr>
          <w:rFonts w:ascii="Calibri" w:cs="Calibri" w:eastAsia="Calibri" w:hAnsi="Calibri"/>
          <w:b/>
          <w:bCs/>
          <w:sz w:val="19"/>
          <w:szCs w:val="19"/>
        </w:rPr>
        <w:t xml:space="preserve">Fix: </w:t>
      </w:r>
      <w:r>
        <w:rPr>
          <w:rFonts w:ascii="Calibri" w:cs="Calibri" w:eastAsia="Calibri" w:hAnsi="Calibri"/>
          <w:sz w:val="19"/>
          <w:szCs w:val="19"/>
        </w:rPr>
        <w:t xml:space="preserve">Sign the assemblies with a strong-name key pair (create a key pair, compile and sign the module) before migrating, per Microsoft's CLR strict-security guidance.</w:t>
      </w:r>
    </w:p>
    <w:p>
      <w:pPr>
        <w:spacing w:after="160"/>
      </w:pPr>
      <w:r>
        <w:rPr>
          <w:rFonts w:ascii="Calibri" w:cs="Calibri" w:eastAsia="Calibri" w:hAnsi="Calibri"/>
          <w:b/>
          <w:bCs/>
          <w:color w:val="595959"/>
          <w:sz w:val="19"/>
          <w:szCs w:val="19"/>
        </w:rPr>
        <w:t xml:space="preserve">Affected: </w:t>
      </w:r>
      <w:r>
        <w:rPr>
          <w:rFonts w:ascii="Calibri" w:cs="Calibri" w:eastAsia="Calibri" w:hAnsi="Calibri"/>
          <w:i/>
          <w:iCs/>
          <w:color w:val="595959"/>
          <w:sz w:val="19"/>
          <w:szCs w:val="19"/>
        </w:rPr>
        <w:t xml:space="preserve">BillQaSql4A/ywadmin, BillQaSql3A/ywadmin, BillQaRep4A/ywadmin, BillQaRep3A/ywadmin</w:t>
      </w:r>
    </w:p>
    <w:p>
      <w:pPr>
        <w:spacing w:after="160" w:before="100"/>
      </w:pPr>
      <w:r>
        <w:rPr>
          <w:rFonts w:ascii="Calibri" w:cs="Calibri" w:eastAsia="Calibri" w:hAnsi="Calibri"/>
          <w:b/>
          <w:bCs/>
          <w:color w:val="C00000"/>
          <w:sz w:val="21"/>
          <w:szCs w:val="21"/>
        </w:rPr>
        <w:t xml:space="preserve">■ </w:t>
      </w:r>
      <w:r>
        <w:rPr>
          <w:rFonts w:ascii="Calibri" w:cs="Calibri" w:eastAsia="Calibri" w:hAnsi="Calibri"/>
          <w:b/>
          <w:bCs/>
          <w:color w:val="1F3864"/>
          <w:sz w:val="21"/>
          <w:szCs w:val="21"/>
        </w:rPr>
        <w:t xml:space="preserve">Data Quality Services (DQS) removed</w:t>
      </w:r>
    </w:p>
    <w:p>
      <w:pPr>
        <w:spacing w:after="160" w:line="276"/>
      </w:pPr>
      <w:r>
        <w:rPr>
          <w:rFonts w:ascii="Calibri" w:cs="Calibri" w:eastAsia="Calibri" w:hAnsi="Calibri"/>
          <w:color w:val="262626"/>
          <w:sz w:val="21"/>
          <w:szCs w:val="21"/>
        </w:rPr>
        <w:t xml:space="preserve">Every one of the four instances also reported one server-level FeatureParity issue: Data Quality Services (DQS) is removed entirely in SQL Server 2025 and has no direct replacement in-box. Affected: all four instances (server-level).</w:t>
      </w:r>
    </w:p>
    <w:p>
      <w:pPr>
        <w:pStyle w:val="Heading1"/>
        <w:pBdr>
          <w:bottom w:val="single" w:color="1F3864" w:sz="6" w:space="4"/>
        </w:pBdr>
        <w:spacing w:after="200" w:before="400"/>
      </w:pPr>
      <w:r>
        <w:rPr>
          <w:rFonts w:ascii="Calibri" w:cs="Calibri" w:eastAsia="Calibri" w:hAnsi="Calibri"/>
          <w:b/>
          <w:bCs/>
          <w:color w:val="1F3864"/>
          <w:sz w:val="30"/>
          <w:szCs w:val="30"/>
        </w:rPr>
        <w:t xml:space="preserve">Appendix: Database Inventory by Instance</w:t>
      </w:r>
    </w:p>
    <w:p>
      <w:pPr>
        <w:pStyle w:val="Heading2"/>
        <w:spacing w:after="140" w:before="300"/>
      </w:pPr>
      <w:r>
        <w:rPr>
          <w:rFonts w:ascii="Calibri" w:cs="Calibri" w:eastAsia="Calibri" w:hAnsi="Calibri"/>
          <w:b/>
          <w:bCs/>
          <w:color w:val="2E74B5"/>
          <w:sz w:val="24"/>
          <w:szCs w:val="24"/>
        </w:rPr>
        <w:t xml:space="preserve">BillQaSql4A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Database</w:t>
            </w:r>
          </w:p>
        </w:tc>
        <w:tc>
          <w:tcPr>
            <w:tcW w:type="dxa" w:w="3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 (MB)</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CaseManagement</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82,944</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FinTrans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107,520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FinTrans_DataMart</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331,264</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ywadmin</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768</w:t>
            </w:r>
          </w:p>
        </w:tc>
      </w:tr>
      <w:tr>
        <w:tc>
          <w:tcPr>
            <w:tcW w:type="dxa" w:w="708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Subtotal (4 databases)</w:t>
            </w:r>
          </w:p>
        </w:tc>
        <w:tc>
          <w:tcPr>
            <w:tcW w:type="dxa" w:w="300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522,496</w:t>
            </w:r>
          </w:p>
        </w:tc>
      </w:tr>
    </w:tbl>
    <w:p>
      <w:pPr>
        <w:spacing w:after="200"/>
      </w:pPr>
    </w:p>
    <w:p>
      <w:pPr>
        <w:pStyle w:val="Heading2"/>
        <w:spacing w:after="140" w:before="300"/>
      </w:pPr>
      <w:r>
        <w:rPr>
          <w:rFonts w:ascii="Calibri" w:cs="Calibri" w:eastAsia="Calibri" w:hAnsi="Calibri"/>
          <w:b/>
          <w:bCs/>
          <w:color w:val="2E74B5"/>
          <w:sz w:val="24"/>
          <w:szCs w:val="24"/>
        </w:rPr>
        <w:t xml:space="preserve">BillQaSql3A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Database</w:t>
            </w:r>
          </w:p>
        </w:tc>
        <w:tc>
          <w:tcPr>
            <w:tcW w:type="dxa" w:w="3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 (MB)</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ywadmin</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768</w:t>
            </w:r>
          </w:p>
        </w:tc>
      </w:tr>
      <w:tr>
        <w:tc>
          <w:tcPr>
            <w:tcW w:type="dxa" w:w="708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Subtotal (1 databases)</w:t>
            </w:r>
          </w:p>
        </w:tc>
        <w:tc>
          <w:tcPr>
            <w:tcW w:type="dxa" w:w="300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768</w:t>
            </w:r>
          </w:p>
        </w:tc>
      </w:tr>
    </w:tbl>
    <w:p>
      <w:pPr>
        <w:spacing w:after="200"/>
      </w:pPr>
    </w:p>
    <w:p>
      <w:pPr>
        <w:pStyle w:val="Heading2"/>
        <w:spacing w:after="140" w:before="300"/>
      </w:pPr>
      <w:r>
        <w:rPr>
          <w:rFonts w:ascii="Calibri" w:cs="Calibri" w:eastAsia="Calibri" w:hAnsi="Calibri"/>
          <w:b/>
          <w:bCs/>
          <w:color w:val="2E74B5"/>
          <w:sz w:val="24"/>
          <w:szCs w:val="24"/>
        </w:rPr>
        <w:t xml:space="preserve">BillQaRep4A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Database</w:t>
            </w:r>
          </w:p>
        </w:tc>
        <w:tc>
          <w:tcPr>
            <w:tcW w:type="dxa" w:w="3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 (MB)</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Billing_Analysis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378,880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Billing_BBC_Extract</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15,336</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Billing_Control</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2,560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Billing_MIS</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75,600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MISStaging</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27,920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ywadmin</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768</w:t>
            </w:r>
          </w:p>
        </w:tc>
      </w:tr>
      <w:tr>
        <w:tc>
          <w:tcPr>
            <w:tcW w:type="dxa" w:w="708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Subtotal (6 databases)</w:t>
            </w:r>
          </w:p>
        </w:tc>
        <w:tc>
          <w:tcPr>
            <w:tcW w:type="dxa" w:w="300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501,064</w:t>
            </w:r>
          </w:p>
        </w:tc>
      </w:tr>
    </w:tbl>
    <w:p>
      <w:pPr>
        <w:spacing w:after="200"/>
      </w:pPr>
    </w:p>
    <w:p>
      <w:pPr>
        <w:pStyle w:val="Heading2"/>
        <w:spacing w:after="140" w:before="300"/>
      </w:pPr>
      <w:r>
        <w:rPr>
          <w:rFonts w:ascii="Calibri" w:cs="Calibri" w:eastAsia="Calibri" w:hAnsi="Calibri"/>
          <w:b/>
          <w:bCs/>
          <w:color w:val="2E74B5"/>
          <w:sz w:val="24"/>
          <w:szCs w:val="24"/>
        </w:rPr>
        <w:t xml:space="preserve">BillQaRep3A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shd w:fill="1F3864"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Database</w:t>
            </w:r>
          </w:p>
        </w:tc>
        <w:tc>
          <w:tcPr>
            <w:tcW w:type="dxa" w:w="3000"/>
            <w:shd w:fill="1F3864" w:color="auto"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Size (MB)</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Billing_Datamart</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305,128</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Billing_Reporting</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575,320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CaseManagement</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82,944</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MOSL_Reporting</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62,464</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PropertyLookup</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54,272</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ReportManagement</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2,560</w:t>
            </w:r>
          </w:p>
        </w:tc>
      </w:tr>
      <w:tr>
        <w:tc>
          <w:tcPr>
            <w:tcW w:type="dxa" w:w="708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ywadmin</w:t>
            </w:r>
          </w:p>
        </w:tc>
        <w:tc>
          <w:tcPr>
            <w:tcW w:type="dxa" w:w="3000"/>
            <w:tcMar>
              <w:top w:type="dxa" w:w="80"/>
              <w:left w:type="dxa" w:w="100"/>
              <w:bottom w:type="dxa" w:w="80"/>
              <w:right w:type="dxa" w:w="100"/>
            </w:tcMar>
            <w:vAlign w:val="center"/>
          </w:tcPr>
          <w:p>
            <w:pPr>
              <w:jc w:val="center"/>
            </w:pPr>
            <w:r>
              <w:rPr>
                <w:rFonts w:ascii="Calibri" w:cs="Calibri" w:eastAsia="Calibri" w:hAnsi="Calibri"/>
                <w:b w:val="false"/>
                <w:bCs w:val="false"/>
                <w:color w:val="262626"/>
                <w:sz w:val="19"/>
                <w:szCs w:val="19"/>
              </w:rPr>
              <w:t xml:space="preserve">768</w:t>
            </w:r>
          </w:p>
        </w:tc>
      </w:tr>
      <w:tr>
        <w:tc>
          <w:tcPr>
            <w:tcW w:type="dxa" w:w="7080"/>
            <w:shd w:fill="F2F2F2" w:color="auto" w:val="clear"/>
            <w:tcMar>
              <w:top w:type="dxa" w:w="80"/>
              <w:left w:type="dxa" w:w="100"/>
              <w:bottom w:type="dxa" w:w="80"/>
              <w:right w:type="dxa" w:w="100"/>
            </w:tcMar>
            <w:vAlign w:val="center"/>
          </w:tcPr>
          <w:p>
            <w:pPr>
              <w:jc w:val="left"/>
            </w:pPr>
            <w:r>
              <w:rPr>
                <w:rFonts w:ascii="Calibri" w:cs="Calibri" w:eastAsia="Calibri" w:hAnsi="Calibri"/>
                <w:b/>
                <w:bCs/>
                <w:color w:val="262626"/>
                <w:sz w:val="19"/>
                <w:szCs w:val="19"/>
              </w:rPr>
              <w:t xml:space="preserve">Subtotal (7 databases)</w:t>
            </w:r>
          </w:p>
        </w:tc>
        <w:tc>
          <w:tcPr>
            <w:tcW w:type="dxa" w:w="3000"/>
            <w:shd w:fill="F2F2F2" w:color="auto" w:val="clear"/>
            <w:tcMar>
              <w:top w:type="dxa" w:w="80"/>
              <w:left w:type="dxa" w:w="100"/>
              <w:bottom w:type="dxa" w:w="80"/>
              <w:right w:type="dxa" w:w="100"/>
            </w:tcMar>
            <w:vAlign w:val="center"/>
          </w:tcPr>
          <w:p>
            <w:pPr>
              <w:jc w:val="center"/>
            </w:pPr>
            <w:r>
              <w:rPr>
                <w:rFonts w:ascii="Calibri" w:cs="Calibri" w:eastAsia="Calibri" w:hAnsi="Calibri"/>
                <w:b/>
                <w:bCs/>
                <w:color w:val="262626"/>
                <w:sz w:val="19"/>
                <w:szCs w:val="19"/>
              </w:rPr>
              <w:t xml:space="preserve">1,083,456</w:t>
            </w:r>
          </w:p>
        </w:tc>
      </w:tr>
    </w:tbl>
    <w:p>
      <w:pPr>
        <w:spacing w:after="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95959"/>
        <w:sz w:val="16"/>
        <w:szCs w:val="16"/>
      </w:rPr>
      <w:t xml:space="preserve">DMA Consolidated Overview — Billing/Reporting QA Instances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2026-09-15T14:38:01.901Z</dcterms:created>
  <dcterms:modified xsi:type="dcterms:W3CDTF">2026-09-15T14:38:01.902Z</dcterms:modified>
</cp:coreProperties>
</file>

<file path=docProps/custom.xml><?xml version="1.0" encoding="utf-8"?>
<Properties xmlns="http://schemas.openxmlformats.org/officeDocument/2006/custom-properties" xmlns:vt="http://schemas.openxmlformats.org/officeDocument/2006/docPropsVTypes"/>
</file>