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37DBABD" w:rsidP="1178F5B8" w:rsidRDefault="337DBABD" w14:paraId="21C6AA91" w14:textId="41527293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1178F5B8" w:rsidR="337DBAB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EV Market Segmentation in India Using Machine Learning: Target Strategy by Income Group</w:t>
      </w:r>
    </w:p>
    <w:p w:rsidR="193866DB" w:rsidP="1178F5B8" w:rsidRDefault="193866DB" w14:paraId="2267ED14" w14:textId="65D1224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0"/>
          <w:szCs w:val="20"/>
          <w:lang w:val="en-US"/>
        </w:rPr>
      </w:pPr>
      <w:r w:rsidRPr="1178F5B8" w:rsidR="193866D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- Sai Sandeep</w:t>
      </w:r>
    </w:p>
    <w:p w:rsidR="159758B4" w:rsidP="50570B30" w:rsidRDefault="159758B4" w14:paraId="693D3196" w14:textId="073C0B5D">
      <w:pPr>
        <w:pStyle w:val="Heading3"/>
        <w:spacing w:before="299" w:beforeAutospacing="off" w:after="299" w:afterAutospacing="off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570B30" w:rsidR="159758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ML Model Used &amp; Its Role</w:t>
      </w:r>
    </w:p>
    <w:p w:rsidR="159758B4" w:rsidP="50570B30" w:rsidRDefault="159758B4" w14:paraId="6F2F54F3" w14:textId="471602C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In this project, Gaussian Mixture Models (GMM) were used for income segmentation. Unlike traditional K-Means clustering, GMM offers flexible clustering boundaries, handles overlapping groups better. Probabilistic assignments</w:t>
      </w:r>
      <w:r w:rsidRPr="50570B30" w:rsidR="7C2EBF7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, i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nstead of forcing individuals into rigid clusters, it assigns soft probabilities, improving segmentation accuracy. Better for financial data</w:t>
      </w:r>
      <w:r w:rsidRPr="50570B30" w:rsidR="14980C2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, s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ince income distribution 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isn’t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uniform, GMM accommodates varying densities.</w:t>
      </w:r>
    </w:p>
    <w:p w:rsidR="159758B4" w:rsidP="50570B30" w:rsidRDefault="159758B4" w14:paraId="058D129A" w14:textId="3FDD34C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Additionally:</w:t>
      </w:r>
    </w:p>
    <w:p w:rsidR="159758B4" w:rsidP="50570B30" w:rsidRDefault="159758B4" w14:paraId="4DE04580" w14:textId="5E88F8E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Feature scaling (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Standard</w:t>
      </w:r>
      <w:r w:rsidRPr="50570B30" w:rsidR="44E0228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Scaler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)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ensured fair contribution from 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different features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.</w:t>
      </w:r>
    </w:p>
    <w:p w:rsidR="159758B4" w:rsidP="50570B30" w:rsidRDefault="159758B4" w14:paraId="1628D337" w14:textId="68F1C32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Log transformation handled skewness in income values.</w:t>
      </w:r>
    </w:p>
    <w:p w:rsidR="159758B4" w:rsidP="50570B30" w:rsidRDefault="159758B4" w14:paraId="33376EE3" w14:textId="7FEED7F4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PCA visualization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helped understand how income groups were structured.</w:t>
      </w:r>
    </w:p>
    <w:p w:rsidR="159758B4" w:rsidP="50570B30" w:rsidRDefault="159758B4" w14:paraId="2461D10C" w14:textId="789B254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Overall, 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GMM proved superior to K-Means for this problem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, creating well-defined 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Low, Medium, and </w:t>
      </w:r>
      <w:r w:rsidRPr="50570B30" w:rsidR="02BDCD5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High-Income</w:t>
      </w:r>
      <w:r w:rsidRPr="50570B30" w:rsidR="159758B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groups.</w:t>
      </w:r>
    </w:p>
    <w:p w:rsidR="6F60BCF3" w:rsidP="50570B30" w:rsidRDefault="6F60BCF3" w14:paraId="37DEAF46" w14:textId="40F3634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570B30" w:rsidR="6F60BC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Overview of Analysis</w:t>
      </w:r>
    </w:p>
    <w:p w:rsidR="6F60BCF3" w:rsidP="50570B30" w:rsidRDefault="6F60BCF3" w14:paraId="35DC0F80" w14:textId="19691B6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We performed income segmentation using a dataset of household </w:t>
      </w:r>
      <w:r w:rsidRPr="50570B30" w:rsidR="1615372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Income and </w:t>
      </w: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spending in India</w:t>
      </w: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6F60BCF3" w:rsidP="50570B30" w:rsidRDefault="6F60BCF3" w14:paraId="3A018C1B" w14:textId="27BFD57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Utilized </w:t>
      </w: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Gaussian Mixture Models (GMM)</w:t>
      </w: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for clustering.</w:t>
      </w:r>
    </w:p>
    <w:p w:rsidR="6F60BCF3" w:rsidP="50570B30" w:rsidRDefault="6F60BCF3" w14:paraId="655D99AA" w14:textId="6A0843F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Included </w:t>
      </w: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income, disposable income, and desired savings</w:t>
      </w: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as key factors.</w:t>
      </w:r>
    </w:p>
    <w:p w:rsidR="6F60BCF3" w:rsidP="50570B30" w:rsidRDefault="6F60BCF3" w14:paraId="4C62B8F9" w14:textId="4E0550E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Categorized individuals into </w:t>
      </w: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three distinct income groups</w:t>
      </w:r>
      <w:r w:rsidRPr="50570B30" w:rsidR="6F60BC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6F60BCF3" w:rsidP="50570B30" w:rsidRDefault="6F60BCF3" w14:paraId="3C16B8A1" w14:textId="7356AAC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50570B30" w:rsidR="6F60BC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Key Findings</w:t>
      </w:r>
    </w:p>
    <w:tbl>
      <w:tblPr>
        <w:tblStyle w:val="TableNormal"/>
        <w:tblW w:w="0" w:type="auto"/>
        <w:tblInd w:w="720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Look w:val="06A0" w:firstRow="1" w:lastRow="0" w:firstColumn="1" w:lastColumn="0" w:noHBand="1" w:noVBand="1"/>
      </w:tblPr>
      <w:tblGrid>
        <w:gridCol w:w="1687"/>
        <w:gridCol w:w="1849"/>
        <w:gridCol w:w="5505"/>
      </w:tblGrid>
      <w:tr w:rsidR="50570B30" w:rsidTr="50570B30" w14:paraId="033BBCD5">
        <w:trPr>
          <w:trHeight w:val="345"/>
        </w:trPr>
        <w:tc>
          <w:tcPr>
            <w:tcW w:w="1687" w:type="dxa"/>
            <w:tcMar/>
            <w:vAlign w:val="center"/>
          </w:tcPr>
          <w:p w:rsidR="50570B30" w:rsidP="50570B30" w:rsidRDefault="50570B30" w14:paraId="7175EB49" w14:textId="13AD32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Income Group</w:t>
            </w:r>
          </w:p>
        </w:tc>
        <w:tc>
          <w:tcPr>
            <w:tcW w:w="1849" w:type="dxa"/>
            <w:tcMar/>
            <w:vAlign w:val="center"/>
          </w:tcPr>
          <w:p w:rsidR="50570B30" w:rsidP="50570B30" w:rsidRDefault="50570B30" w14:paraId="58E7EFC6" w14:textId="1F7A64B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Number of People</w:t>
            </w:r>
          </w:p>
        </w:tc>
        <w:tc>
          <w:tcPr>
            <w:tcW w:w="5505" w:type="dxa"/>
            <w:tcMar/>
            <w:vAlign w:val="center"/>
          </w:tcPr>
          <w:p w:rsidR="50570B30" w:rsidP="50570B30" w:rsidRDefault="50570B30" w14:paraId="3213E021" w14:textId="7FB0A12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Characteristics</w:t>
            </w:r>
          </w:p>
        </w:tc>
      </w:tr>
      <w:tr w:rsidR="50570B30" w:rsidTr="50570B30" w14:paraId="48B4198A">
        <w:trPr>
          <w:trHeight w:val="300"/>
        </w:trPr>
        <w:tc>
          <w:tcPr>
            <w:tcW w:w="1687" w:type="dxa"/>
            <w:tcMar/>
            <w:vAlign w:val="center"/>
          </w:tcPr>
          <w:p w:rsidR="50570B30" w:rsidP="50570B30" w:rsidRDefault="50570B30" w14:paraId="42E851E0" w14:textId="251990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Low Income</w:t>
            </w:r>
          </w:p>
        </w:tc>
        <w:tc>
          <w:tcPr>
            <w:tcW w:w="1849" w:type="dxa"/>
            <w:tcMar/>
            <w:vAlign w:val="center"/>
          </w:tcPr>
          <w:p w:rsidR="50570B30" w:rsidP="50570B30" w:rsidRDefault="50570B30" w14:paraId="005B14FA" w14:textId="06264BC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10,373</w:t>
            </w:r>
          </w:p>
        </w:tc>
        <w:tc>
          <w:tcPr>
            <w:tcW w:w="5505" w:type="dxa"/>
            <w:tcMar/>
            <w:vAlign w:val="center"/>
          </w:tcPr>
          <w:p w:rsidR="50570B30" w:rsidP="50570B30" w:rsidRDefault="50570B30" w14:paraId="55687258" w14:textId="2073B98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Limited savings and disposable income, </w:t>
            </w: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likely </w:t>
            </w:r>
            <w:r w:rsidRPr="50570B30" w:rsidR="04751F6C">
              <w:rPr>
                <w:rFonts w:ascii="Times New Roman" w:hAnsi="Times New Roman" w:eastAsia="Times New Roman" w:cs="Times New Roman"/>
                <w:b w:val="0"/>
                <w:bCs w:val="0"/>
              </w:rPr>
              <w:t>price</w:t>
            </w:r>
            <w:r w:rsidRPr="50570B30" w:rsidR="04751F6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sensitive</w:t>
            </w: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.</w:t>
            </w:r>
          </w:p>
        </w:tc>
      </w:tr>
      <w:tr w:rsidR="50570B30" w:rsidTr="50570B30" w14:paraId="21FACAC3">
        <w:trPr>
          <w:trHeight w:val="300"/>
        </w:trPr>
        <w:tc>
          <w:tcPr>
            <w:tcW w:w="1687" w:type="dxa"/>
            <w:tcMar/>
            <w:vAlign w:val="center"/>
          </w:tcPr>
          <w:p w:rsidR="50570B30" w:rsidP="50570B30" w:rsidRDefault="50570B30" w14:paraId="6DC7942D" w14:textId="724AB47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Medium Income</w:t>
            </w:r>
          </w:p>
        </w:tc>
        <w:tc>
          <w:tcPr>
            <w:tcW w:w="1849" w:type="dxa"/>
            <w:tcMar/>
            <w:vAlign w:val="center"/>
          </w:tcPr>
          <w:p w:rsidR="50570B30" w:rsidP="50570B30" w:rsidRDefault="50570B30" w14:paraId="74703BF2" w14:textId="60F8E3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7,638</w:t>
            </w:r>
          </w:p>
        </w:tc>
        <w:tc>
          <w:tcPr>
            <w:tcW w:w="5505" w:type="dxa"/>
            <w:tcMar/>
            <w:vAlign w:val="center"/>
          </w:tcPr>
          <w:p w:rsidR="50570B30" w:rsidP="50570B30" w:rsidRDefault="50570B30" w14:paraId="229B65A4" w14:textId="5A112D9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Moderate earnings, decent disposable income—potential target for mid-range EVs.</w:t>
            </w:r>
          </w:p>
        </w:tc>
      </w:tr>
      <w:tr w:rsidR="50570B30" w:rsidTr="50570B30" w14:paraId="63C4B5B2">
        <w:trPr>
          <w:trHeight w:val="300"/>
        </w:trPr>
        <w:tc>
          <w:tcPr>
            <w:tcW w:w="1687" w:type="dxa"/>
            <w:tcMar/>
            <w:vAlign w:val="center"/>
          </w:tcPr>
          <w:p w:rsidR="50570B30" w:rsidP="50570B30" w:rsidRDefault="50570B30" w14:paraId="57492064" w14:textId="29A8239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High Income</w:t>
            </w:r>
          </w:p>
        </w:tc>
        <w:tc>
          <w:tcPr>
            <w:tcW w:w="1849" w:type="dxa"/>
            <w:tcMar/>
            <w:vAlign w:val="center"/>
          </w:tcPr>
          <w:p w:rsidR="50570B30" w:rsidP="50570B30" w:rsidRDefault="50570B30" w14:paraId="01D09A1D" w14:textId="0B26F2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1,634</w:t>
            </w:r>
          </w:p>
        </w:tc>
        <w:tc>
          <w:tcPr>
            <w:tcW w:w="5505" w:type="dxa"/>
            <w:tcMar/>
            <w:vAlign w:val="center"/>
          </w:tcPr>
          <w:p w:rsidR="50570B30" w:rsidP="50570B30" w:rsidRDefault="50570B30" w14:paraId="5F520C33" w14:textId="6FEF0BA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0570B30" w:rsidR="50570B30">
              <w:rPr>
                <w:rFonts w:ascii="Times New Roman" w:hAnsi="Times New Roman" w:eastAsia="Times New Roman" w:cs="Times New Roman"/>
                <w:b w:val="0"/>
                <w:bCs w:val="0"/>
              </w:rPr>
              <w:t>High earnings, strong savings—ideal buyers for premium EVs.</w:t>
            </w:r>
          </w:p>
        </w:tc>
      </w:tr>
    </w:tbl>
    <w:p w:rsidR="4C0C39EE" w:rsidP="50570B30" w:rsidRDefault="4C0C39EE" w14:paraId="2BBE7E15" w14:textId="73DB396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570B30" w:rsidR="4C0C39E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High-income group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en-US"/>
        </w:rPr>
        <w:t xml:space="preserve"> (~1,634 people)</w:t>
      </w:r>
    </w:p>
    <w:p w:rsidR="4C0C39EE" w:rsidP="50570B30" w:rsidRDefault="4C0C39EE" w14:paraId="11CA8A31" w14:textId="7531A72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Earn significantly more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4C0C39EE" w:rsidP="50570B30" w:rsidRDefault="4C0C39EE" w14:paraId="0934C26F" w14:textId="47B4657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Self-employed or professionals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, mostly from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Tier 1 &amp; Tier 2 cities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4C0C39EE" w:rsidP="50570B30" w:rsidRDefault="4C0C39EE" w14:paraId="17265A16" w14:textId="6FC6406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Strong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disposable income (~₹31,617)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Ideal buyers for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premium EV models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(luxury SUVs &amp; sedans).</w:t>
      </w:r>
    </w:p>
    <w:p w:rsidR="4C0C39EE" w:rsidP="50570B30" w:rsidRDefault="4C0C39EE" w14:paraId="55BF2E63" w14:textId="6AB144A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50570B30" w:rsidR="4C0C39E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Medium-income group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(~7,638 people)</w:t>
      </w:r>
    </w:p>
    <w:p w:rsidR="4C0C39EE" w:rsidP="50570B30" w:rsidRDefault="4C0C39EE" w14:paraId="4F0C58D4" w14:textId="0B093EA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Largest segment across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all city tiers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4C0C39EE" w:rsidP="50570B30" w:rsidRDefault="4C0C39EE" w14:paraId="61ECA5FB" w14:textId="5E340B0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Disposable income (~₹13,891), indicating potential for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affordable EVs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4C0C39EE" w:rsidP="50570B30" w:rsidRDefault="4C0C39EE" w14:paraId="3282450E" w14:textId="0056CD9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Strong demand in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Tier 2 &amp; Tier 3 cities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4C0C39EE" w:rsidP="50570B30" w:rsidRDefault="4C0C39EE" w14:paraId="590E648E" w14:textId="6527F8C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Needs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financing options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government subsidies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to boost adoption.</w:t>
      </w:r>
    </w:p>
    <w:p w:rsidR="4C0C39EE" w:rsidP="50570B30" w:rsidRDefault="4C0C39EE" w14:paraId="17AC60CB" w14:textId="2AB68FD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50570B30" w:rsidR="4C0C39E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Low-income group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(~10,373 people)</w:t>
      </w:r>
    </w:p>
    <w:p w:rsidR="4C0C39EE" w:rsidP="50570B30" w:rsidRDefault="4C0C39EE" w14:paraId="57751079" w14:textId="295D481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Earn ~₹26,858 median income, limited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disposable income (~₹9,676)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4C0C39EE" w:rsidP="50570B30" w:rsidRDefault="4C0C39EE" w14:paraId="166A6158" w14:textId="27B5765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Highly price-sensitive—mostly in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Tier 3 cities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4C0C39EE" w:rsidP="50570B30" w:rsidRDefault="4C0C39EE" w14:paraId="7B4DF4F4" w14:textId="48FFEB5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Not an ideal EV-buying </w:t>
      </w:r>
      <w:r w:rsidRPr="50570B30" w:rsidR="6674C568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group but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could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benefit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from 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EV rental or low-cost financing options</w:t>
      </w:r>
      <w:r w:rsidRPr="50570B30" w:rsidR="4C0C39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40D4A360" w:rsidP="50570B30" w:rsidRDefault="40D4A360" w14:paraId="67F2F951" w14:textId="0E51BE9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570B30" w:rsidR="40D4A3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Improvements with More Time &amp; Budget</w:t>
      </w:r>
    </w:p>
    <w:p w:rsidR="40D4A360" w:rsidP="50570B30" w:rsidRDefault="40D4A360" w14:paraId="65765476" w14:textId="0A7DBF0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0D4A36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Enhanced Data Collection: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Given more time and budget, 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additional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datasets should be collected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for deeper segmentation. </w:t>
      </w:r>
    </w:p>
    <w:p w:rsidR="40D4A360" w:rsidP="50570B30" w:rsidRDefault="40D4A360" w14:paraId="7D61AEB0" w14:textId="4732CE6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Vehicle ownership history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Helps understand willingness to shift to EVs. </w:t>
      </w:r>
      <w:r>
        <w:br/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Loan/credit history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Determines ability to finance EV purchases. </w:t>
      </w:r>
      <w:r>
        <w:br/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Commute patterns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Identifies demand for 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battery range optimization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. </w:t>
      </w:r>
      <w:r>
        <w:br/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Environmental preferences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Helps promote 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eco-conscious marketing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. </w:t>
      </w:r>
      <w:r>
        <w:br/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EV subsidy awareness &amp; incentives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Determines how financial aid impacts adoption.</w:t>
      </w:r>
    </w:p>
    <w:p w:rsidR="40D4A360" w:rsidP="50570B30" w:rsidRDefault="40D4A360" w14:paraId="59BEE7AF" w14:textId="265B25D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</w:pPr>
      <w:r w:rsidRPr="50570B30" w:rsidR="40D4A36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Better ML Models to Try: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 xml:space="preserve"> </w:t>
      </w:r>
    </w:p>
    <w:p w:rsidR="40D4A360" w:rsidP="50570B30" w:rsidRDefault="40D4A360" w14:paraId="6856BBAE" w14:textId="0ADEC42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Hierarchical Clustering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Dynamically creates different clusters based on distance metrics. </w:t>
      </w:r>
    </w:p>
    <w:p w:rsidR="40D4A360" w:rsidP="50570B30" w:rsidRDefault="40D4A360" w14:paraId="67B3F1E7" w14:textId="160DC43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Random Forest or 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XGBoost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Classification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Predict likelihood of EV adoption based on socioeconomic factors.</w:t>
      </w:r>
    </w:p>
    <w:p w:rsidR="40D4A360" w:rsidP="50570B30" w:rsidRDefault="40D4A360" w14:paraId="5082DE45" w14:textId="6F9D208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DBSCAN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Detects natural density-based clusters that might not fit conventional segmentation.</w:t>
      </w:r>
    </w:p>
    <w:p w:rsidR="40D4A360" w:rsidP="50570B30" w:rsidRDefault="40D4A360" w14:paraId="592FF619" w14:textId="002FF38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These 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models would strengthen EV adoption strategies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, making targeting 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more precise</w:t>
      </w:r>
      <w:r w:rsidRPr="50570B30" w:rsidR="40D4A36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6E24C09C" w:rsidP="50570B30" w:rsidRDefault="6E24C09C" w14:paraId="4862FC7D" w14:textId="6716ED3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570B30" w:rsidR="6E24C0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Estimated Market Size for EVs in India</w:t>
      </w:r>
    </w:p>
    <w:p w:rsidR="6E24C09C" w:rsidP="50570B30" w:rsidRDefault="6E24C09C" w14:paraId="21305889" w14:textId="539662C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The 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Indian EV market is rapidly growing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, with an estimated market value </w:t>
      </w:r>
      <w:r w:rsidRPr="50570B30" w:rsidR="2C05DB0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of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₹50,000 Crores (~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$6 </w:t>
      </w:r>
      <w:r w:rsidRPr="50570B30" w:rsidR="388186D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billion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) by 2025</w:t>
      </w:r>
      <w:r w:rsidRPr="50570B30" w:rsidR="4AB637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. 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EV penetration is expected to reach 30% by 2030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, driven by policies like 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FAME-II subsidies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. 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Annual EV sales projected to cross 1.5M units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by 2025. 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Two-wheelers dominate the EV market (~60% share)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due to affordability.</w:t>
      </w:r>
    </w:p>
    <w:p w:rsidR="6E24C09C" w:rsidP="50570B30" w:rsidRDefault="6E24C09C" w14:paraId="548B3267" w14:textId="1710DE0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This means </w:t>
      </w:r>
      <w:r w:rsidRPr="50570B30" w:rsidR="7710B53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EV 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startup is a fast-expanding domain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with 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strong growth</w:t>
      </w:r>
      <w:r w:rsidRPr="50570B30" w:rsidR="6E24C09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potential.</w:t>
      </w:r>
    </w:p>
    <w:p w:rsidR="3965802F" w:rsidP="50570B30" w:rsidRDefault="3965802F" w14:paraId="1C9DA8F2" w14:textId="3CD015B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570B30" w:rsidR="396580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Strategic Solution Based on Findings</w:t>
      </w:r>
    </w:p>
    <w:p w:rsidR="3965802F" w:rsidP="50570B30" w:rsidRDefault="3965802F" w14:paraId="7891786C" w14:textId="1EA55C9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50570B30" w:rsidR="3965802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Recommended Business Strategy:</w:t>
      </w:r>
      <w:r w:rsidRPr="50570B30" w:rsidR="3965802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3965802F" w:rsidP="50570B30" w:rsidRDefault="3965802F" w14:paraId="4AFFFE66" w14:textId="56C53F0A">
      <w:pPr>
        <w:pStyle w:val="ListParagraph"/>
        <w:numPr>
          <w:ilvl w:val="0"/>
          <w:numId w:val="30"/>
        </w:numPr>
        <w:spacing w:before="200" w:beforeAutospacing="off" w:after="20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3965802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Premium EVs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for Tier 1 &amp; Tier 2 buyers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(High-Income group) → Focus on 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performance, battery life, charging networks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. </w:t>
      </w:r>
    </w:p>
    <w:p w:rsidR="3965802F" w:rsidP="50570B30" w:rsidRDefault="3965802F" w14:paraId="1B720543" w14:textId="7C0D9877">
      <w:pPr>
        <w:pStyle w:val="ListParagraph"/>
        <w:numPr>
          <w:ilvl w:val="0"/>
          <w:numId w:val="30"/>
        </w:numPr>
        <w:spacing w:before="200" w:beforeAutospacing="off" w:after="20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3965802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Affordable EVs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for Tier 2 &amp; Tier 3 cities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(Medium-Income group) → Provide 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budget-friendly models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with 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loan &amp; subsidy options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. </w:t>
      </w:r>
    </w:p>
    <w:p w:rsidR="3965802F" w:rsidP="50570B30" w:rsidRDefault="3965802F" w14:paraId="79A91B1E" w14:textId="5CF07376">
      <w:pPr>
        <w:pStyle w:val="ListParagraph"/>
        <w:numPr>
          <w:ilvl w:val="0"/>
          <w:numId w:val="30"/>
        </w:numPr>
        <w:spacing w:before="200" w:beforeAutospacing="off" w:after="20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3965802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Shared mobility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(EV rentals, subscriptions) for Low-Income group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→ 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Encourage trials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, making adoption less risky. </w:t>
      </w:r>
    </w:p>
    <w:p w:rsidR="3965802F" w:rsidP="50570B30" w:rsidRDefault="3965802F" w14:paraId="29564984" w14:textId="1D427089">
      <w:pPr>
        <w:pStyle w:val="ListParagraph"/>
        <w:numPr>
          <w:ilvl w:val="0"/>
          <w:numId w:val="30"/>
        </w:numPr>
        <w:spacing w:before="200" w:beforeAutospacing="off" w:after="20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50570B30" w:rsidR="3965802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Leverage government incentives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(FAME-II, GST reductions) to make EVs more accessible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3965802F" w:rsidP="50570B30" w:rsidRDefault="3965802F" w14:paraId="71BAAD89" w14:textId="183CCF73">
      <w:pPr>
        <w:pStyle w:val="ListParagraph"/>
        <w:numPr>
          <w:ilvl w:val="0"/>
          <w:numId w:val="27"/>
        </w:numPr>
        <w:spacing w:before="200" w:beforeAutospacing="off" w:after="20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With these strategies, EV startup 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can tap into the right income segments and maximize EV 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adoption</w:t>
      </w:r>
      <w:r w:rsidRPr="50570B30" w:rsidR="396580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.</w:t>
      </w:r>
    </w:p>
    <w:p w:rsidR="50570B30" w:rsidP="50570B30" w:rsidRDefault="50570B30" w14:paraId="51AB240F" w14:textId="04B333CA">
      <w:pPr>
        <w:pStyle w:val="Normal"/>
        <w:spacing w:before="200" w:beforeAutospacing="off" w:after="20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2" w:themeTint="FF" w:themeShade="FF"/>
          <w:sz w:val="20"/>
          <w:szCs w:val="20"/>
          <w:lang w:val="en-US"/>
        </w:rPr>
      </w:pPr>
    </w:p>
    <w:p w:rsidR="75C5278A" w:rsidP="50570B30" w:rsidRDefault="75C5278A" w14:paraId="5C749748" w14:textId="2B812E82">
      <w:pPr>
        <w:spacing w:before="200" w:beforeAutospacing="off" w:after="200" w:afterAutospacing="off" w:line="240" w:lineRule="auto"/>
        <w:jc w:val="center"/>
      </w:pPr>
      <w:r w:rsidR="75C5278A">
        <w:drawing>
          <wp:inline wp14:editId="26C9683C" wp14:anchorId="21304575">
            <wp:extent cx="5493436" cy="4345314"/>
            <wp:effectExtent l="0" t="0" r="0" b="0"/>
            <wp:docPr id="59128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d7f261a6b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436" cy="43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D8D7D" w:rsidP="50570B30" w:rsidRDefault="182D8D7D" w14:paraId="7653BA1E" w14:textId="09E22469">
      <w:pPr>
        <w:spacing w:before="200" w:beforeAutospacing="off" w:after="200" w:afterAutospacing="off" w:line="240" w:lineRule="auto"/>
        <w:jc w:val="center"/>
      </w:pPr>
      <w:r w:rsidR="182D8D7D">
        <w:drawing>
          <wp:inline wp14:editId="03655E96" wp14:anchorId="2AABAA31">
            <wp:extent cx="4259878" cy="3025130"/>
            <wp:effectExtent l="0" t="0" r="0" b="0"/>
            <wp:docPr id="301656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4a2b7aa98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878" cy="3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E038B" w:rsidR="008E038B" w:rsidSect="004D69D7">
      <w:pgSz w:w="12240" w:h="15840" w:orient="portrait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8xBffq/R0u3blc" int2:id="usDRdqk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5356a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2734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47cf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28c4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8d8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f29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0569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f166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248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0ee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d45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80c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c09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2">
    <w:abstractNumId w:val="24"/>
  </w:num>
  <w:num w:numId="31">
    <w:abstractNumId w:val="23"/>
  </w:num>
  <w:num w:numId="30">
    <w:abstractNumId w:val="22"/>
  </w:num>
  <w:num w:numId="29">
    <w:abstractNumId w:val="21"/>
  </w:num>
  <w:num w:numId="28">
    <w:abstractNumId w:val="20"/>
  </w:num>
  <w:num w:numId="27">
    <w:abstractNumId w:val="19"/>
  </w:num>
  <w:num w:numId="26">
    <w:abstractNumId w:val="18"/>
  </w:num>
  <w:num w:numId="25">
    <w:abstractNumId w:val="17"/>
  </w:num>
  <w:num w:numId="24">
    <w:abstractNumId w:val="16"/>
  </w:num>
  <w:num w:numId="23">
    <w:abstractNumId w:val="15"/>
  </w:num>
  <w:num w:numId="22">
    <w:abstractNumId w:val="14"/>
  </w:num>
  <w:num w:numId="21">
    <w:abstractNumId w:val="13"/>
  </w:num>
  <w:num w:numId="20">
    <w:abstractNumId w:val="12"/>
  </w: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42BD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21BB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AF3659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506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B9E79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10B1212"/>
    <w:rsid w:val="017A8B1F"/>
    <w:rsid w:val="02BDCD5F"/>
    <w:rsid w:val="03F898D6"/>
    <w:rsid w:val="0469823A"/>
    <w:rsid w:val="04751F6C"/>
    <w:rsid w:val="04C08FBB"/>
    <w:rsid w:val="068E5726"/>
    <w:rsid w:val="09365298"/>
    <w:rsid w:val="09365298"/>
    <w:rsid w:val="0A496B0D"/>
    <w:rsid w:val="0C009AAA"/>
    <w:rsid w:val="0C8A2DE8"/>
    <w:rsid w:val="1178F5B8"/>
    <w:rsid w:val="14980C2E"/>
    <w:rsid w:val="151D0AB7"/>
    <w:rsid w:val="151D0AB7"/>
    <w:rsid w:val="157888C2"/>
    <w:rsid w:val="159758B4"/>
    <w:rsid w:val="16153724"/>
    <w:rsid w:val="16857743"/>
    <w:rsid w:val="182D8D7D"/>
    <w:rsid w:val="193866DB"/>
    <w:rsid w:val="19B1EE06"/>
    <w:rsid w:val="1A4F4906"/>
    <w:rsid w:val="1BA6EBEB"/>
    <w:rsid w:val="20C43640"/>
    <w:rsid w:val="21A320A2"/>
    <w:rsid w:val="27AD9513"/>
    <w:rsid w:val="28B074CB"/>
    <w:rsid w:val="28E3FED7"/>
    <w:rsid w:val="29E29656"/>
    <w:rsid w:val="29E29656"/>
    <w:rsid w:val="2C05DB07"/>
    <w:rsid w:val="306FF65E"/>
    <w:rsid w:val="319CCB30"/>
    <w:rsid w:val="31A20434"/>
    <w:rsid w:val="327D8278"/>
    <w:rsid w:val="3300B6B2"/>
    <w:rsid w:val="337DBABD"/>
    <w:rsid w:val="388186D0"/>
    <w:rsid w:val="3965802F"/>
    <w:rsid w:val="3A2C3729"/>
    <w:rsid w:val="3D19E1B1"/>
    <w:rsid w:val="3DC723FB"/>
    <w:rsid w:val="40543D52"/>
    <w:rsid w:val="40D4A360"/>
    <w:rsid w:val="42D961D0"/>
    <w:rsid w:val="441988C8"/>
    <w:rsid w:val="441988C8"/>
    <w:rsid w:val="44E02288"/>
    <w:rsid w:val="47369534"/>
    <w:rsid w:val="4AB6373A"/>
    <w:rsid w:val="4BA88BD0"/>
    <w:rsid w:val="4C0C39EE"/>
    <w:rsid w:val="50570B30"/>
    <w:rsid w:val="5167E034"/>
    <w:rsid w:val="51C3E4D0"/>
    <w:rsid w:val="52686D64"/>
    <w:rsid w:val="551B4505"/>
    <w:rsid w:val="56CA0FCE"/>
    <w:rsid w:val="5833D945"/>
    <w:rsid w:val="61A0A239"/>
    <w:rsid w:val="65FA895D"/>
    <w:rsid w:val="6674C568"/>
    <w:rsid w:val="66E9671E"/>
    <w:rsid w:val="67B9C64D"/>
    <w:rsid w:val="689B9726"/>
    <w:rsid w:val="69CBD8B0"/>
    <w:rsid w:val="6E24C09C"/>
    <w:rsid w:val="6F60BCF3"/>
    <w:rsid w:val="707367CC"/>
    <w:rsid w:val="71038F05"/>
    <w:rsid w:val="740E7C4C"/>
    <w:rsid w:val="75C5278A"/>
    <w:rsid w:val="75D48051"/>
    <w:rsid w:val="763841B7"/>
    <w:rsid w:val="7710B530"/>
    <w:rsid w:val="795203E3"/>
    <w:rsid w:val="7A9C449D"/>
    <w:rsid w:val="7B79B84F"/>
    <w:rsid w:val="7C2EBF72"/>
    <w:rsid w:val="7CCD1EFF"/>
    <w:rsid w:val="7DAF07B1"/>
    <w:rsid w:val="7DFE4AF3"/>
    <w:rsid w:val="7E646A35"/>
    <w:rsid w:val="7FC5C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719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a70d7f261a6b4c9f" /><Relationship Type="http://schemas.openxmlformats.org/officeDocument/2006/relationships/image" Target="/media/image2.png" Id="Rb444a2b7aa9843b2" /><Relationship Type="http://schemas.microsoft.com/office/2020/10/relationships/intelligence" Target="intelligence2.xml" Id="R914f389874e548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P="000E152C" w:rsidRDefault="00D05506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P="000E152C" w:rsidRDefault="00D05506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P="000E152C" w:rsidRDefault="00D05506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P="000E152C" w:rsidRDefault="00D05506">
          <w:pPr>
            <w:pStyle w:val="3463BA7EDA394B12BF94F16B02D21BD2"/>
          </w:pPr>
          <w:r w:rsidRPr="00D7441A">
            <w:t>Bellows College, BS Mathematics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142BD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Sandeep Srirangapuram</dc:creator>
  <keywords/>
  <dc:description/>
  <lastModifiedBy>Sai Sandeep Srirangapuram</lastModifiedBy>
  <revision>6</revision>
  <dcterms:created xsi:type="dcterms:W3CDTF">2025-04-15T02:35:00.0000000Z</dcterms:created>
  <dcterms:modified xsi:type="dcterms:W3CDTF">2025-05-08T08:27:37.3506702Z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