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74AB" w14:textId="77777777" w:rsidR="009B7D8E" w:rsidRDefault="009B7D8E" w:rsidP="009B7D8E">
      <w:pPr>
        <w:pStyle w:val="NormalWeb"/>
        <w:spacing w:before="0" w:beforeAutospacing="0" w:after="0" w:afterAutospacing="0"/>
        <w:jc w:val="center"/>
        <w:textAlignment w:val="baseline"/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</w:rPr>
      </w:pPr>
      <w:proofErr w:type="spellStart"/>
      <w:r w:rsidRPr="009B7D8E"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</w:rPr>
        <w:t>Trie</w:t>
      </w:r>
      <w:proofErr w:type="spellEnd"/>
    </w:p>
    <w:p w14:paraId="586A82FC" w14:textId="77777777" w:rsidR="009B7D8E" w:rsidRPr="009B7D8E" w:rsidRDefault="009B7D8E" w:rsidP="009B7D8E">
      <w:pPr>
        <w:pStyle w:val="NormalWeb"/>
        <w:spacing w:before="0" w:beforeAutospacing="0" w:after="0" w:afterAutospacing="0"/>
        <w:jc w:val="center"/>
        <w:textAlignment w:val="baseline"/>
        <w:rPr>
          <w:rFonts w:ascii="Nunito" w:hAnsi="Nunito"/>
          <w:b/>
          <w:bCs/>
          <w:i/>
          <w:iCs/>
          <w:color w:val="273239"/>
          <w:spacing w:val="2"/>
          <w:sz w:val="26"/>
          <w:szCs w:val="26"/>
        </w:rPr>
      </w:pPr>
    </w:p>
    <w:p w14:paraId="092FE69A" w14:textId="77777777" w:rsidR="009B7D8E" w:rsidRDefault="009B7D8E" w:rsidP="009B7D8E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data structure is defined as a Tree based data structure that is used for storing some collection of strings and performing efficient search operations on them. The word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is derived from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re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</w:rPr>
        <w:t>TRIE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val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, which means finding something or obtaining it. </w:t>
      </w:r>
    </w:p>
    <w:p w14:paraId="0DAE4863" w14:textId="77777777" w:rsidR="009B7D8E" w:rsidRDefault="009B7D8E" w:rsidP="009B7D8E">
      <w:pPr>
        <w:pStyle w:val="NormalWeb"/>
        <w:spacing w:before="0" w:beforeAutospacing="0" w:after="150" w:afterAutospacing="0"/>
        <w:textAlignment w:val="baseline"/>
        <w:rPr>
          <w:rFonts w:ascii="Nunito" w:hAnsi="Nunito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follows some property that </w:t>
      </w:r>
      <w:proofErr w:type="gram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If</w:t>
      </w:r>
      <w:proofErr w:type="gram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two strings have a common prefix then they will have the same ancestor in the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. A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can be used to sort a collection of strings alphabetically as well as search whether a string with a given prefix is present in the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</w:rPr>
        <w:t xml:space="preserve"> or not.</w:t>
      </w:r>
    </w:p>
    <w:p w14:paraId="721BB868" w14:textId="77777777" w:rsidR="00E25095" w:rsidRDefault="00E25095"/>
    <w:p w14:paraId="2C7E61B2" w14:textId="77777777" w:rsidR="009B7D8E" w:rsidRDefault="009B7D8E"/>
    <w:p w14:paraId="0776C382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Need for </w:t>
      </w:r>
      <w:proofErr w:type="spell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 Data Structure?</w:t>
      </w:r>
    </w:p>
    <w:p w14:paraId="7236FD88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is used for storing and retrieval of data and the same operations could be done using another data structure which is Hash Table but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can perform these operations more efficiently than a Hash Table. Moreover,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has its own advantage over the Hash table. 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can be used for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prefix-based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searching whereas a Hash table can’t be used in the same way. </w:t>
      </w:r>
    </w:p>
    <w:p w14:paraId="42A94A29" w14:textId="77777777" w:rsidR="009B7D8E" w:rsidRPr="009B7D8E" w:rsidRDefault="009B7D8E" w:rsidP="009B7D8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 xml:space="preserve">Advantages of </w:t>
      </w:r>
      <w:proofErr w:type="spell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  <w:t xml:space="preserve"> Data Structure over a Hash Table:</w:t>
      </w:r>
    </w:p>
    <w:p w14:paraId="738ED531" w14:textId="77777777" w:rsidR="009B7D8E" w:rsidRPr="009B7D8E" w:rsidRDefault="009B7D8E" w:rsidP="009B7D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The 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has the following advantages over a hash table:  </w:t>
      </w:r>
    </w:p>
    <w:p w14:paraId="4995B1E2" w14:textId="77777777" w:rsidR="009B7D8E" w:rsidRDefault="009B7D8E"/>
    <w:p w14:paraId="0ED61953" w14:textId="77777777" w:rsidR="009B7D8E" w:rsidRDefault="009B7D8E"/>
    <w:p w14:paraId="4696400C" w14:textId="77777777" w:rsidR="009B7D8E" w:rsidRPr="009B7D8E" w:rsidRDefault="009B7D8E" w:rsidP="009B7D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We can efficiently do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prefix search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 (or auto-complete) with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</w:p>
    <w:p w14:paraId="0D23DD5C" w14:textId="77777777" w:rsidR="009B7D8E" w:rsidRPr="009B7D8E" w:rsidRDefault="009B7D8E" w:rsidP="009B7D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We can easily print all words in alphabetical order which is not easily possible with hashing.</w:t>
      </w:r>
    </w:p>
    <w:p w14:paraId="33EFD376" w14:textId="77777777" w:rsidR="009B7D8E" w:rsidRPr="009B7D8E" w:rsidRDefault="009B7D8E" w:rsidP="009B7D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There is no overhead of Hash functions in 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structure.</w:t>
      </w:r>
    </w:p>
    <w:p w14:paraId="129022D2" w14:textId="77777777" w:rsidR="009B7D8E" w:rsidRPr="009B7D8E" w:rsidRDefault="009B7D8E" w:rsidP="009B7D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Searching for a String even in the large collection of strings in 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can be done in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O(L)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 Time complexity, Where L is the number of words in the query string. This searching time could be even less than O(L) if the query string does not exist in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</w:p>
    <w:p w14:paraId="3E949AAC" w14:textId="77777777" w:rsidR="009B7D8E" w:rsidRDefault="009B7D8E"/>
    <w:p w14:paraId="65FE7DCB" w14:textId="77777777" w:rsidR="009B7D8E" w:rsidRDefault="009B7D8E"/>
    <w:p w14:paraId="6F2CAF42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Properties of a </w:t>
      </w:r>
      <w:proofErr w:type="spell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 Data Structure</w:t>
      </w:r>
    </w:p>
    <w:p w14:paraId="204C6101" w14:textId="77777777" w:rsidR="009B7D8E" w:rsidRPr="009B7D8E" w:rsidRDefault="009B7D8E" w:rsidP="009B7D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Now we already know that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has a tree-like structure. So, it is very important to know its properties.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br/>
        <w:t xml:space="preserve">Below are some important properties of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structure:</w:t>
      </w:r>
    </w:p>
    <w:p w14:paraId="2D3217BD" w14:textId="77777777" w:rsidR="009B7D8E" w:rsidRPr="009B7D8E" w:rsidRDefault="009B7D8E" w:rsidP="009B7D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There is one root node in each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</w:p>
    <w:p w14:paraId="75C58639" w14:textId="77777777" w:rsidR="009B7D8E" w:rsidRPr="009B7D8E" w:rsidRDefault="009B7D8E" w:rsidP="009B7D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Each node of a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represents a string and each edge represents a character.</w:t>
      </w:r>
    </w:p>
    <w:p w14:paraId="35BB2D5F" w14:textId="77777777" w:rsidR="009B7D8E" w:rsidRPr="009B7D8E" w:rsidRDefault="009B7D8E" w:rsidP="009B7D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Every node consists of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hashmaps</w:t>
      </w:r>
      <w:proofErr w:type="spellEnd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or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an array of pointers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with each index representing a character and a flag to indicate if any string ends at the current node.</w:t>
      </w:r>
    </w:p>
    <w:p w14:paraId="68C8684E" w14:textId="77777777" w:rsidR="009B7D8E" w:rsidRPr="009B7D8E" w:rsidRDefault="009B7D8E" w:rsidP="009B7D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can contain any number of characters including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alphabets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numbers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and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special characters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 But for this article, we will discuss strings with characters a-z. Therefore, only 26 pointers need for every node, where the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0th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index represents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‘a’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and the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25th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index represents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‘z’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characters.</w:t>
      </w:r>
    </w:p>
    <w:p w14:paraId="6B566D85" w14:textId="77777777" w:rsidR="009B7D8E" w:rsidRPr="009B7D8E" w:rsidRDefault="009B7D8E" w:rsidP="009B7D8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Each path from the root to any node represents a word or string.</w:t>
      </w:r>
    </w:p>
    <w:p w14:paraId="6DB48AD0" w14:textId="77777777" w:rsidR="009B7D8E" w:rsidRPr="009B7D8E" w:rsidRDefault="009B7D8E" w:rsidP="009B7D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Below is a simple example of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structure.</w:t>
      </w:r>
    </w:p>
    <w:p w14:paraId="423E455F" w14:textId="77777777" w:rsidR="009B7D8E" w:rsidRDefault="009B7D8E"/>
    <w:p w14:paraId="69F8386F" w14:textId="77777777" w:rsidR="009B7D8E" w:rsidRDefault="009B7D8E">
      <w:r>
        <w:rPr>
          <w:noProof/>
        </w:rPr>
        <w:lastRenderedPageBreak/>
        <w:drawing>
          <wp:inline distT="0" distB="0" distL="0" distR="0" wp14:anchorId="06DDBA01" wp14:editId="033567DF">
            <wp:extent cx="5166360" cy="4686300"/>
            <wp:effectExtent l="0" t="0" r="0" b="0"/>
            <wp:docPr id="2025070816" name="Picture 1" descr="Tri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DBE1" w14:textId="77777777" w:rsidR="009B7D8E" w:rsidRDefault="009B7D8E"/>
    <w:p w14:paraId="1395339D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How does </w:t>
      </w:r>
      <w:proofErr w:type="spell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  <w:t xml:space="preserve"> Data Structure work?</w:t>
      </w:r>
    </w:p>
    <w:p w14:paraId="5DE9BEAA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We already know that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 can contain any number of characters including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alphabets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numbers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and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special characters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 But for this article, we will discuss strings with characters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a-z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 Therefore, only 26 pointers need for every node, where the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0th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index represents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‘a’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and the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25th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index represents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‘z’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characters.</w:t>
      </w:r>
    </w:p>
    <w:p w14:paraId="6B44552C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Any lowercase English word can start with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a-z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then the next letter of the word could be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a-z,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the third letter of the word again could be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a-z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, and so on. </w:t>
      </w:r>
      <w:proofErr w:type="gram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So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for storing a word, we need to take an array (container) of size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26 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and initially, all the characters are empty as there are no words and it will look as shown below.</w:t>
      </w:r>
    </w:p>
    <w:p w14:paraId="37847BE3" w14:textId="77777777" w:rsidR="009B7D8E" w:rsidRPr="009B7D8E" w:rsidRDefault="009B7D8E" w:rsidP="009B7D8E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32DE9B22" wp14:editId="20F243A1">
            <wp:extent cx="5943600" cy="1271270"/>
            <wp:effectExtent l="0" t="0" r="0" b="5080"/>
            <wp:docPr id="865327125" name="Picture 2" descr="An array of pointers inside every Tri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array of pointers inside every Trie n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7387" w14:textId="77777777" w:rsidR="009B7D8E" w:rsidRPr="009B7D8E" w:rsidRDefault="009B7D8E" w:rsidP="009B7D8E">
      <w:pPr>
        <w:shd w:val="clear" w:color="auto" w:fill="FFFFFF"/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14:ligatures w14:val="none"/>
        </w:rPr>
      </w:pPr>
      <w:r w:rsidRPr="009B7D8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14:ligatures w14:val="none"/>
        </w:rPr>
        <w:t xml:space="preserve">An array of pointers inside every </w:t>
      </w:r>
      <w:proofErr w:type="spellStart"/>
      <w:r w:rsidRPr="009B7D8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18"/>
          <w:szCs w:val="18"/>
          <w14:ligatures w14:val="none"/>
        </w:rPr>
        <w:t xml:space="preserve"> node</w:t>
      </w:r>
    </w:p>
    <w:p w14:paraId="1709E780" w14:textId="77777777" w:rsidR="009B7D8E" w:rsidRPr="009B7D8E" w:rsidRDefault="009B7D8E" w:rsidP="009B7D8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Let’s see how a word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and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” is stored in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structure: </w:t>
      </w:r>
    </w:p>
    <w:p w14:paraId="7202CAE0" w14:textId="77777777" w:rsidR="009B7D8E" w:rsidRPr="009B7D8E" w:rsidRDefault="009B7D8E" w:rsidP="009B7D8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Store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” in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structure:</w:t>
      </w:r>
    </w:p>
    <w:p w14:paraId="702DE81C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The word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starts with “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So we will mark the position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” as filled in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node, which represents the use of “a”. </w:t>
      </w:r>
    </w:p>
    <w:p w14:paraId="2C2E7A60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After placing the first character, for the second character again there are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26 possibilities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So from “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again there is an array of size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26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for storing the 2nd character.</w:t>
      </w:r>
    </w:p>
    <w:p w14:paraId="0E1986A0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The second character is “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So from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“, we will move to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and mark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in the 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2nd 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array as used.</w:t>
      </w:r>
    </w:p>
    <w:p w14:paraId="044E6220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After “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, the 3rd character is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“, So mark the position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d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as used in the respective array.</w:t>
      </w:r>
    </w:p>
    <w:p w14:paraId="4E17095E" w14:textId="77777777" w:rsidR="009B7D8E" w:rsidRPr="009B7D8E" w:rsidRDefault="009B7D8E" w:rsidP="009B7D8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Store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” in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data structure:</w:t>
      </w:r>
    </w:p>
    <w:p w14:paraId="64CF2746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The word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ant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starts with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and the position of “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” in the root node has already been filled. So, no need to fill it again, just move to the node ‘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in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</w:p>
    <w:p w14:paraId="7A22973F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For the second character ‘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we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can observe that the position of ‘n’ in the ‘a’ node has already been filled. So, no need to fill it again, just move to node ‘n’ in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</w:p>
    <w:p w14:paraId="1C113E88" w14:textId="77777777" w:rsidR="009B7D8E" w:rsidRPr="009B7D8E" w:rsidRDefault="009B7D8E" w:rsidP="009B7D8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For the last character ‘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of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the word, The position for ‘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in the ‘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node is not filled. So, filled the position of ‘</w:t>
      </w:r>
      <w:proofErr w:type="gramStart"/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in</w:t>
      </w:r>
      <w:proofErr w:type="gram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‘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node and move to ‘</w:t>
      </w:r>
      <w:r w:rsidRPr="009B7D8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t</w:t>
      </w: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‘ node.</w:t>
      </w:r>
    </w:p>
    <w:p w14:paraId="5C989795" w14:textId="77777777" w:rsidR="009B7D8E" w:rsidRPr="009B7D8E" w:rsidRDefault="009B7D8E" w:rsidP="009B7D8E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After storing the word “and” and “ant” the </w:t>
      </w:r>
      <w:proofErr w:type="spellStart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Trie</w:t>
      </w:r>
      <w:proofErr w:type="spellEnd"/>
      <w:r w:rsidRPr="009B7D8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will look like this:</w:t>
      </w:r>
    </w:p>
    <w:p w14:paraId="64FC2776" w14:textId="77777777" w:rsidR="009B7D8E" w:rsidRDefault="009B7D8E"/>
    <w:p w14:paraId="3882CF21" w14:textId="77777777" w:rsidR="009B7D8E" w:rsidRDefault="009B7D8E"/>
    <w:p w14:paraId="0D510919" w14:textId="77777777" w:rsidR="009B7D8E" w:rsidRDefault="009B7D8E"/>
    <w:p w14:paraId="78D6AAF7" w14:textId="77777777" w:rsidR="009B7D8E" w:rsidRDefault="009B7D8E"/>
    <w:p w14:paraId="5E69D059" w14:textId="77777777" w:rsidR="009B7D8E" w:rsidRDefault="009B7D8E">
      <w:r>
        <w:rPr>
          <w:noProof/>
        </w:rPr>
        <w:lastRenderedPageBreak/>
        <w:drawing>
          <wp:inline distT="0" distB="0" distL="0" distR="0" wp14:anchorId="09194947" wp14:editId="2A1CD317">
            <wp:extent cx="5943600" cy="4979035"/>
            <wp:effectExtent l="0" t="0" r="0" b="0"/>
            <wp:docPr id="1516848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C1AC" w14:textId="77777777" w:rsidR="009B7D8E" w:rsidRDefault="009B7D8E"/>
    <w:p w14:paraId="4694A712" w14:textId="77777777" w:rsidR="009B7D8E" w:rsidRDefault="009B7D8E" w:rsidP="009B7D8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 xml:space="preserve">Representation of </w:t>
      </w:r>
      <w:proofErr w:type="spellStart"/>
      <w:r>
        <w:rPr>
          <w:rFonts w:ascii="Nunito" w:hAnsi="Nunito"/>
          <w:color w:val="273239"/>
          <w:spacing w:val="2"/>
        </w:rPr>
        <w:t>Trie</w:t>
      </w:r>
      <w:proofErr w:type="spellEnd"/>
      <w:r>
        <w:rPr>
          <w:rFonts w:ascii="Nunito" w:hAnsi="Nunito"/>
          <w:color w:val="273239"/>
          <w:spacing w:val="2"/>
        </w:rPr>
        <w:t xml:space="preserve"> Node:</w:t>
      </w:r>
    </w:p>
    <w:p w14:paraId="4FDA313C" w14:textId="77777777" w:rsidR="009B7D8E" w:rsidRDefault="009B7D8E" w:rsidP="009B7D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Every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node consists of a character pointer array or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hashmap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and a flag to represent if the word is ending at that node or not. But if the words contain only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lower-case</w:t>
      </w:r>
      <w:r>
        <w:rPr>
          <w:rFonts w:ascii="Nunito" w:hAnsi="Nunito"/>
          <w:color w:val="273239"/>
          <w:spacing w:val="2"/>
          <w:sz w:val="26"/>
          <w:szCs w:val="26"/>
        </w:rPr>
        <w:t> letters (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i.e.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a-z), then we can define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Trie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Node with an array instead of a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hashmap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09FA085" w14:textId="77777777" w:rsidR="009B7D8E" w:rsidRDefault="009B7D8E"/>
    <w:sectPr w:rsidR="009B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123"/>
    <w:multiLevelType w:val="multilevel"/>
    <w:tmpl w:val="AD3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10C6E"/>
    <w:multiLevelType w:val="multilevel"/>
    <w:tmpl w:val="F248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1733C"/>
    <w:multiLevelType w:val="multilevel"/>
    <w:tmpl w:val="3006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519589">
    <w:abstractNumId w:val="1"/>
  </w:num>
  <w:num w:numId="2" w16cid:durableId="1104963546">
    <w:abstractNumId w:val="0"/>
  </w:num>
  <w:num w:numId="3" w16cid:durableId="376897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8E"/>
    <w:rsid w:val="009B7D8E"/>
    <w:rsid w:val="00D53065"/>
    <w:rsid w:val="00E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2FD7"/>
  <w15:chartTrackingRefBased/>
  <w15:docId w15:val="{169DC186-A95D-4612-8F34-4E450CA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7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D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7D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7D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wp-caption-text">
    <w:name w:val="wp-caption-text"/>
    <w:basedOn w:val="Normal"/>
    <w:rsid w:val="009B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</dc:creator>
  <cp:keywords/>
  <dc:description/>
  <cp:lastModifiedBy>Satyam B</cp:lastModifiedBy>
  <cp:revision>1</cp:revision>
  <dcterms:created xsi:type="dcterms:W3CDTF">2023-04-20T05:48:00Z</dcterms:created>
  <dcterms:modified xsi:type="dcterms:W3CDTF">2023-04-20T05:58:00Z</dcterms:modified>
</cp:coreProperties>
</file>