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650"/>
        <w:jc w:val="center"/>
      </w:pPr>
      <w:r>
        <w:rPr>
          <w:b/>
          <w:bCs/>
          <w:sz w:val="48"/>
          <w:szCs w:val="48"/>
        </w:rPr>
        <w:t xml:space="preserve">PID Viewer 功能与操作手册</w:t>
      </w:r>
    </w:p>
    <w:p>
      <w:pPr>
        <w:spacing w:after="100"/>
        <w:jc w:val="center"/>
      </w:pPr>
      <w:r>
        <w:t xml:space="preserve">功能说明 | 操作步骤 | 红框截图</w:t>
      </w:r>
    </w:p>
    <w:p>
      <w:pPr>
        <w:spacing w:after="100"/>
        <w:jc w:val="center"/>
      </w:pPr>
      <w:r>
        <w:t xml:space="preserve">V1.0    2026-09-24</w:t>
      </w:r>
    </w:p>
    <w:p>
      <w:pPr>
        <w:spacing w:after="100"/>
        <w:jc w:val="center"/>
      </w:pPr>
      <w:r>
        <w:t xml:space="preserve">适用界面：PID Viewer Lite / 中文</w:t>
      </w:r>
    </w:p>
    <w:p>
      <w:pPr>
        <w:jc w:val="center"/>
      </w:pPr>
      <w:r>
        <w:drawing>
          <wp:inline distT="0" distB="0" distL="0" distR="0">
            <wp:extent cx="6305550" cy="4381500"/>
            <wp:effectExtent t="0" r="0" b="0" l="0"/>
            <wp:docPr id="1" name="01-workspace" descr="真实界面截图，红色框线与数字标记操作位置" title="01-work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t xml:space="preserve">依据当前工作区界面编制；正式发布前须完成业务审核。</w:t>
      </w:r>
    </w:p>
    <w:p>
      <w:pPr>
        <w:pStyle w:val="Heading1"/>
        <w:pageBreakBefore/>
        <w:spacing w:after="100"/>
      </w:pPr>
      <w:r>
        <w:t xml:space="preserve">目录</w:t>
      </w:r>
    </w:p>
    <w:p>
      <w:pPr>
        <w:spacing w:after="70"/>
      </w:pPr>
      <w:hyperlink w:history="1" w:anchor="section_1">
        <w:r>
          <w:rPr>
            <w:color w:val="245952"/>
          </w:rPr>
          <w:t xml:space="preserve">1 手册说明与使用范围</w:t>
        </w:r>
      </w:hyperlink>
    </w:p>
    <w:p>
      <w:pPr>
        <w:spacing w:after="70"/>
      </w:pPr>
      <w:hyperlink w:history="1" w:anchor="section_2">
        <w:r>
          <w:rPr>
            <w:color w:val="245952"/>
          </w:rPr>
          <w:t xml:space="preserve">2 系统概念与业务流程</w:t>
        </w:r>
      </w:hyperlink>
    </w:p>
    <w:p>
      <w:pPr>
        <w:spacing w:after="70"/>
      </w:pPr>
      <w:hyperlink w:history="1" w:anchor="section_3">
        <w:r>
          <w:rPr>
            <w:color w:val="245952"/>
          </w:rPr>
          <w:t xml:space="preserve">3 登录与进入工作区</w:t>
        </w:r>
      </w:hyperlink>
    </w:p>
    <w:p>
      <w:pPr>
        <w:spacing w:after="70"/>
      </w:pPr>
      <w:hyperlink w:history="1" w:anchor="section_4">
        <w:r>
          <w:rPr>
            <w:color w:val="245952"/>
          </w:rPr>
          <w:t xml:space="preserve">4 主界面与快速入门</w:t>
        </w:r>
      </w:hyperlink>
    </w:p>
    <w:p>
      <w:pPr>
        <w:spacing w:after="70"/>
      </w:pPr>
      <w:hyperlink w:history="1" w:anchor="section_5">
        <w:r>
          <w:rPr>
            <w:color w:val="245952"/>
          </w:rPr>
          <w:t xml:space="preserve">5.1 上传 PID 图纸</w:t>
        </w:r>
      </w:hyperlink>
    </w:p>
    <w:p>
      <w:pPr>
        <w:spacing w:after="70"/>
      </w:pPr>
      <w:hyperlink w:history="1" w:anchor="section_6">
        <w:r>
          <w:rPr>
            <w:color w:val="245952"/>
          </w:rPr>
          <w:t xml:space="preserve">5.2 搜索、查看与处理图纸问题</w:t>
        </w:r>
      </w:hyperlink>
    </w:p>
    <w:p>
      <w:pPr>
        <w:spacing w:after="70"/>
      </w:pPr>
      <w:hyperlink w:history="1" w:anchor="section_7">
        <w:r>
          <w:rPr>
            <w:color w:val="245952"/>
          </w:rPr>
          <w:t xml:space="preserve">6.1 查看与管理 Project</w:t>
        </w:r>
      </w:hyperlink>
    </w:p>
    <w:p>
      <w:pPr>
        <w:spacing w:after="70"/>
      </w:pPr>
      <w:hyperlink w:history="1" w:anchor="section_8">
        <w:r>
          <w:rPr>
            <w:color w:val="245952"/>
          </w:rPr>
          <w:t xml:space="preserve">6.2 创建或修改项目</w:t>
        </w:r>
      </w:hyperlink>
    </w:p>
    <w:p>
      <w:pPr>
        <w:spacing w:after="70"/>
      </w:pPr>
      <w:hyperlink w:history="1" w:anchor="section_9">
        <w:r>
          <w:rPr>
            <w:color w:val="245952"/>
          </w:rPr>
          <w:t xml:space="preserve">7.1 工艺与阶段导航</w:t>
        </w:r>
      </w:hyperlink>
    </w:p>
    <w:p>
      <w:pPr>
        <w:spacing w:after="70"/>
      </w:pPr>
      <w:hyperlink w:history="1" w:anchor="section_10">
        <w:r>
          <w:rPr>
            <w:color w:val="245952"/>
          </w:rPr>
          <w:t xml:space="preserve">7.2 创建、复制与排序序列</w:t>
        </w:r>
      </w:hyperlink>
    </w:p>
    <w:p>
      <w:pPr>
        <w:spacing w:after="70"/>
      </w:pPr>
      <w:hyperlink w:history="1" w:anchor="section_11">
        <w:r>
          <w:rPr>
            <w:color w:val="245952"/>
          </w:rPr>
          <w:t xml:space="preserve">7.3 创建 Phase</w:t>
        </w:r>
      </w:hyperlink>
    </w:p>
    <w:p>
      <w:pPr>
        <w:spacing w:after="70"/>
      </w:pPr>
      <w:hyperlink w:history="1" w:anchor="section_12">
        <w:r>
          <w:rPr>
            <w:color w:val="245952"/>
          </w:rPr>
          <w:t xml:space="preserve">7.4 关联或更换阶段图纸</w:t>
        </w:r>
      </w:hyperlink>
    </w:p>
    <w:p>
      <w:pPr>
        <w:spacing w:after="70"/>
      </w:pPr>
      <w:hyperlink w:history="1" w:anchor="section_13">
        <w:r>
          <w:rPr>
            <w:color w:val="245952"/>
          </w:rPr>
          <w:t xml:space="preserve">7.5 复制阶段与调整顺序</w:t>
        </w:r>
      </w:hyperlink>
    </w:p>
    <w:p>
      <w:pPr>
        <w:spacing w:after="70"/>
      </w:pPr>
      <w:hyperlink w:history="1" w:anchor="section_14">
        <w:r>
          <w:rPr>
            <w:color w:val="245952"/>
          </w:rPr>
          <w:t xml:space="preserve">7.6 Tank 归属、筛选与定位</w:t>
        </w:r>
      </w:hyperlink>
    </w:p>
    <w:p>
      <w:pPr>
        <w:spacing w:after="70"/>
      </w:pPr>
      <w:hyperlink w:history="1" w:anchor="section_15">
        <w:r>
          <w:rPr>
            <w:color w:val="245952"/>
          </w:rPr>
          <w:t xml:space="preserve">8 图纸浏览与基础工具</w:t>
        </w:r>
      </w:hyperlink>
    </w:p>
    <w:p>
      <w:pPr>
        <w:spacing w:after="70"/>
      </w:pPr>
      <w:hyperlink w:history="1" w:anchor="section_16">
        <w:r>
          <w:rPr>
            <w:color w:val="245952"/>
          </w:rPr>
          <w:t xml:space="preserve">9.1 画笔标注与擦除</w:t>
        </w:r>
      </w:hyperlink>
    </w:p>
    <w:p>
      <w:pPr>
        <w:spacing w:after="70"/>
      </w:pPr>
      <w:hyperlink w:history="1" w:anchor="section_17">
        <w:r>
          <w:rPr>
            <w:color w:val="245952"/>
          </w:rPr>
          <w:t xml:space="preserve">9.2 设备状态与连通流路</w:t>
        </w:r>
      </w:hyperlink>
    </w:p>
    <w:p>
      <w:pPr>
        <w:spacing w:after="70"/>
      </w:pPr>
      <w:hyperlink w:history="1" w:anchor="section_18">
        <w:r>
          <w:rPr>
            <w:color w:val="245952"/>
          </w:rPr>
          <w:t xml:space="preserve">9.3 配置设备与 Utility 高亮样式</w:t>
        </w:r>
      </w:hyperlink>
    </w:p>
    <w:p>
      <w:pPr>
        <w:spacing w:after="70"/>
      </w:pPr>
      <w:hyperlink w:history="1" w:anchor="section_19">
        <w:r>
          <w:rPr>
            <w:color w:val="245952"/>
          </w:rPr>
          <w:t xml:space="preserve">10 导入 Excel 工艺配置</w:t>
        </w:r>
      </w:hyperlink>
    </w:p>
    <w:p>
      <w:pPr>
        <w:spacing w:after="70"/>
      </w:pPr>
      <w:hyperlink w:history="1" w:anchor="section_20">
        <w:r>
          <w:rPr>
            <w:color w:val="245952"/>
          </w:rPr>
          <w:t xml:space="preserve">11 阶段保存与数据保护</w:t>
        </w:r>
      </w:hyperlink>
    </w:p>
    <w:p>
      <w:pPr>
        <w:spacing w:after="70"/>
      </w:pPr>
      <w:hyperlink w:history="1" w:anchor="section_21">
        <w:r>
          <w:rPr>
            <w:color w:val="245952"/>
          </w:rPr>
          <w:t xml:space="preserve">12.1 检查报告页面</w:t>
        </w:r>
      </w:hyperlink>
    </w:p>
    <w:p>
      <w:pPr>
        <w:spacing w:after="70"/>
      </w:pPr>
      <w:hyperlink w:history="1" w:anchor="section_22">
        <w:r>
          <w:rPr>
            <w:color w:val="245952"/>
          </w:rPr>
          <w:t xml:space="preserve">12.2 生成、预览与下载 PDF</w:t>
        </w:r>
      </w:hyperlink>
    </w:p>
    <w:p>
      <w:pPr>
        <w:spacing w:after="70"/>
      </w:pPr>
      <w:hyperlink w:history="1" w:anchor="section_23">
        <w:r>
          <w:rPr>
            <w:color w:val="245952"/>
          </w:rPr>
          <w:t xml:space="preserve">12.3 导出设备 Matrix</w:t>
        </w:r>
      </w:hyperlink>
    </w:p>
    <w:p>
      <w:pPr>
        <w:spacing w:after="70"/>
      </w:pPr>
      <w:hyperlink w:history="1" w:anchor="section_24">
        <w:r>
          <w:rPr>
            <w:color w:val="245952"/>
          </w:rPr>
          <w:t xml:space="preserve">13 CIP 完整操作检查清单</w:t>
        </w:r>
      </w:hyperlink>
    </w:p>
    <w:p>
      <w:pPr>
        <w:spacing w:after="70"/>
      </w:pPr>
      <w:hyperlink w:history="1" w:anchor="section_25">
        <w:r>
          <w:rPr>
            <w:color w:val="245952"/>
          </w:rPr>
          <w:t xml:space="preserve">14 常见问题与处理建议</w:t>
        </w:r>
      </w:hyperlink>
    </w:p>
    <w:p>
      <w:pPr>
        <w:spacing w:after="70"/>
      </w:pPr>
      <w:hyperlink w:history="1" w:anchor="section_26">
        <w:r>
          <w:rPr>
            <w:color w:val="245952"/>
          </w:rPr>
          <w:t xml:space="preserve">附录 A 操作速查与版本记录</w:t>
        </w:r>
      </w:hyperlink>
    </w:p>
    <w:p>
      <w:pPr>
        <w:pStyle w:val="Heading1"/>
        <w:pageBreakBefore/>
        <w:spacing w:after="180"/>
      </w:pPr>
      <w:bookmarkStart w:name="section_1" w:id="1"/>
      <w:r>
        <w:t xml:space="preserve">1 手册说明与使用范围</w:t>
      </w:r>
      <w:bookmarkEnd w:id="1"/>
    </w:p>
    <w:p>
      <w:pPr>
        <w:spacing w:after="100"/>
      </w:pPr>
      <w:r>
        <w:t xml:space="preserve">项目功能与用途：PID Viewer Lite 面向生物制药与生物工艺工程，以 CIP（原位清洗）/SIP（原位灭菌）路由的数字化仿真与验证为项目目标，帮助工程师在设计早期基于 P&amp;ID 图纸梳理工艺序列、核对设备状态与介质流路，并在制造前辅助检查清洗和灭菌路径的覆盖范围。项目针对复杂路由带来的设计效率低、工程投入大、交付周期长、水/蒸汽/化学品消耗高，以及问题在后期验证阶段才暴露等挑战，为方案设计、路径审查、团队沟通和工程交付提供可视化依据。</w:t>
      </w:r>
    </w:p>
    <w:p>
      <w:pPr>
        <w:spacing w:after="100"/>
      </w:pPr>
      <w:r>
        <w:t xml:space="preserve">当前功能基础包括 PID 图纸与项目管理、按“工艺—序列—阶段”组织流程、阶段图纸关联、Tank 归属与设备状态配置、连通流路高亮和手动画笔标注，以及 Excel 配置导入、PDF 报告和设备状态 Matrix 导出。工程师可据此表达并核对不同阶段涉及的设备、状态和路径，形成可供审核、交流与归档的成果。</w:t>
      </w:r>
    </w:p>
    <w:p>
      <w:pPr>
        <w:spacing w:after="100"/>
      </w:pPr>
      <w:r>
        <w:t xml:space="preserve">依据项目需求，系统期望采用可复用的应用逻辑，适配不同项目和类型的 P&amp;ID，并按具体工艺配置阶段顺序及子序列；对流路中与产品接触的相关设备统一采用绿色高亮，检查范围包括阀门、泵、搅拌器和变送器等。通过前置检查与方案比较，项目旨在支持路径优化、缩短工艺周期并降低公用工程消耗和后期返工风险。跨项目通用性、各类设备覆盖、仿真精度及节约效果仍需按交付版本与具体项目验证；当前可视化和连通检查不等同于物理过程仿真，不直接控制现场设备，也不能替代清洗/灭菌有效性验证、工艺计算或安全联锁与合规确认。</w:t>
      </w:r>
    </w:p>
    <w:p>
      <w:pPr>
        <w:spacing w:after="100"/>
      </w:pPr>
      <w:r>
        <w:t xml:space="preserve">本手册面向工艺工程师、项目配置人员和审核人员，介绍 PID Viewer Lite 的图纸查看、工艺阶段配置、设备与流路标注，以及 PDF 和设备 Matrix 输出流程。</w:t>
      </w:r>
    </w:p>
    <w:p>
      <w:pPr>
        <w:spacing w:after="100"/>
      </w:pPr>
      <w:r>
        <w:t xml:space="preserve">适用范围：2026-09-24 当前工作区版本。界面截图来自本机正在运行的前端与后台，使用已有项目 DemoNew、工艺 CIP、序列 Sequence1 及 Phase1/Phase2。项目名称、设备编号和图纸内容仅用于说明操作位置。</w:t>
      </w:r>
    </w:p>
    <w:p>
      <w:pPr>
        <w:spacing w:after="100"/>
      </w:pPr>
      <w:r>
        <w:t xml:space="preserve">截图为中文界面，红色矩形表示操作区域，红底数字对应图下标注说明；红框不是系统原有界面。完整原图、标注图和局部放大图均保存在随附素材目录。</w:t>
      </w:r>
    </w:p>
    <w:p>
      <w:pPr>
        <w:spacing w:after="100"/>
      </w:pPr>
      <w:r>
        <w:t xml:space="preserve">本次采集只执行登录演示、查看与打开/关闭窗口，未提交新增、修改、删除、配置导入或业务报告生成。相关提交步骤依据当前界面和前端实现编写，不代表已对后台写入结果完成验收。</w:t>
      </w:r>
    </w:p>
    <w:p>
      <w:pPr>
        <w:spacing w:after="100"/>
      </w:pPr>
      <w:r>
        <w:t xml:space="preserve">当前开发入口采用演示登录服务，不能据此认定生产环境已具备真实账号认证、权限隔离或审计能力。生产部署的访问方式和账号策略应由管理员确认。</w:t>
      </w:r>
    </w:p>
    <w:p>
      <w:pPr>
        <w:spacing w:after="100"/>
      </w:pPr>
      <w:r>
        <w:t xml:space="preserve">文件格式、Excel 业务字段、后台解析能力和保存策略受部署版本影响。没有界面或代码依据的能力不作为本手册承诺。删除、覆盖、更换图纸和批量导入应先在测试项目中确认。</w:t>
      </w:r>
    </w:p>
    <w:p>
      <w:pPr>
        <w:pStyle w:val="Heading1"/>
        <w:pageBreakBefore/>
        <w:spacing w:after="180"/>
      </w:pPr>
      <w:bookmarkStart w:name="section_2" w:id="1"/>
      <w:r>
        <w:t xml:space="preserve">2 系统概念与业务流程</w:t>
      </w:r>
      <w:bookmarkEnd w:id="1"/>
    </w:p>
    <w:p>
      <w:pPr>
        <w:spacing w:after="100"/>
      </w:pPr>
      <w:r>
        <w:t xml:space="preserve">Project（项目）：组织本次工程使用的 PID 图纸及工艺业务数据。PID 图纸库保存可供项目关联的图纸资源。</w:t>
      </w:r>
    </w:p>
    <w:p>
      <w:pPr>
        <w:spacing w:after="100"/>
      </w:pPr>
      <w:r>
        <w:t xml:space="preserve">Process（工艺）：例如 CIP，包含一个或多个 Sequence（序列）。Sequence 按业务顺序组织 Phase（阶段）。</w:t>
      </w:r>
    </w:p>
    <w:p>
      <w:pPr>
        <w:spacing w:after="100"/>
      </w:pPr>
      <w:r>
        <w:t xml:space="preserve">Phase（阶段）：承载当前阶段关联图纸、设备状态与高亮配置，是配置、保存和报告检查的重要上下文。操作前必须确认当前 Project、Process、Sequence 和 Phase。</w:t>
      </w:r>
    </w:p>
    <w:p>
      <w:pPr>
        <w:spacing w:after="100"/>
      </w:pPr>
      <w:r>
        <w:t xml:space="preserve">Tank：用于阶段的对象归属、筛选与定位；可用选项取决于当前图纸解析结果。Utility：用于组织介质或公用工程相关的流路样式。</w:t>
      </w:r>
    </w:p>
    <w:p>
      <w:pPr>
        <w:spacing w:after="100"/>
      </w:pPr>
      <w:r>
        <w:t xml:space="preserve">推荐流程：上传 PID → 创建 Project 并关联 PID → 创建 Process → 创建 Sequence → 创建并关联 Phase → 配置设备状态与流路 → 保存并检查 → 输出 PDF 或 Matrix。</w:t>
      </w:r>
    </w:p>
    <w:p>
      <w:pPr>
        <w:spacing w:after="100"/>
      </w:pPr>
      <w:r>
        <w:t xml:space="preserve">常规图纸查看与业务配置不是同一件事。临时打开 DXF/DWG 并不等于把文件上传到后台图纸库，也不等于为当前 Phase 建立了后台图纸关联。</w:t>
      </w:r>
    </w:p>
    <w:p>
      <w:pPr>
        <w:spacing w:after="100"/>
      </w:pPr>
      <w:r>
        <w:t xml:space="preserve">本次实例的后台资源为 .pdi。通用查看器支持 DXF/DWG，不应据此推断当前后台支持相同的全部格式；上传前应使用部署方确认的图纸或解析结果文件。</w:t>
      </w:r>
    </w:p>
    <w:p>
      <w:pPr>
        <w:pStyle w:val="Heading1"/>
        <w:pageBreakBefore/>
        <w:spacing w:after="180"/>
      </w:pPr>
      <w:bookmarkStart w:name="section_3" w:id="1"/>
      <w:r>
        <w:t xml:space="preserve">3 登录与进入工作区</w:t>
      </w:r>
      <w:bookmarkEnd w:id="1"/>
    </w:p>
    <w:p>
      <w:pPr>
        <w:spacing w:after="100"/>
      </w:pPr>
      <w:r>
        <w:t xml:space="preserve">操作目的：打开系统并进入图纸与工艺工作区。</w:t>
      </w:r>
    </w:p>
    <w:p>
      <w:pPr>
        <w:spacing w:after="100"/>
      </w:pPr>
      <w:r>
        <w:t xml:space="preserve">前置条件：已取得部署地址，浏览器可访问前端与后台。建议使用支持 WebGL、WebAssembly 和 Web Workers 的近期 Edge 或 Chrome。</w:t>
      </w:r>
    </w:p>
    <w:p>
      <w:pPr>
        <w:spacing w:after="100"/>
      </w:pPr>
      <w:r>
        <w:t xml:space="preserve">步骤 1：在浏览器中打开管理员提供的地址。当前开发验证地址为 http://localhost:5173，仅适用于本机，不是统一生产地址。</w:t>
      </w:r>
    </w:p>
    <w:p>
      <w:pPr>
        <w:spacing w:after="100"/>
      </w:pPr>
      <w:r>
        <w:t xml:space="preserve">步骤 2：在红框 1、2 中输入当前环境要求的用户名与密码，点击红框 3“登录”。不要将真实密码写入手册或截图。</w:t>
      </w:r>
    </w:p>
    <w:p>
      <w:pPr>
        <w:spacing w:after="100"/>
      </w:pPr>
      <w:r>
        <w:t xml:space="preserve">步骤 3：进入工作区后，等待项目、工艺和图纸完成加载，再执行后续操作。</w:t>
      </w:r>
    </w:p>
    <w:p>
      <w:pPr>
        <w:jc w:val="center"/>
      </w:pPr>
      <w:r>
        <w:drawing>
          <wp:inline distT="0" distB="0" distL="0" distR="0">
            <wp:extent cx="6096000" cy="4381500"/>
            <wp:effectExtent t="0" r="0" b="0" l="0"/>
            <wp:docPr id="1" name="00-login" descr="真实界面截图，红色框线与数字标记操作位置" title="00-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t xml:space="preserve">图 1　1 用户名；2 密码；3 登录</w:t>
      </w:r>
    </w:p>
    <w:p>
      <w:pPr>
        <w:spacing w:after="100"/>
      </w:pPr>
      <w:r>
        <w:t xml:space="preserve">预期结果：显示顶栏、工艺侧栏和图纸区域。</w:t>
      </w:r>
    </w:p>
    <w:p>
      <w:pPr>
        <w:spacing w:after="100"/>
      </w:pPr>
      <w:r>
        <w:t xml:space="preserve">注意事项：当前开发版本使用演示登录。截图账号仅用于文档采集，不是生产账号；正式账号、退出及会话策略以部署配置为准。</w:t>
      </w:r>
    </w:p>
    <w:p>
      <w:pPr>
        <w:pStyle w:val="Heading1"/>
        <w:pageBreakBefore/>
        <w:spacing w:after="180"/>
      </w:pPr>
      <w:bookmarkStart w:name="section_4" w:id="1"/>
      <w:r>
        <w:t xml:space="preserve">4 主界面与快速入门</w:t>
      </w:r>
      <w:bookmarkEnd w:id="1"/>
    </w:p>
    <w:p>
      <w:pPr>
        <w:spacing w:after="100"/>
      </w:pPr>
      <w:r>
        <w:t xml:space="preserve">操作目的：识别全局入口与当前业务上下文。</w:t>
      </w:r>
    </w:p>
    <w:p>
      <w:pPr>
        <w:spacing w:after="100"/>
      </w:pPr>
      <w:r>
        <w:t xml:space="preserve">步骤 1：顶栏查看 Project 和图纸名称。红框 1“PID 图纸”打开图纸库，红框 2“Project”打开项目管理，红框 3“报告”打开报告工作区。</w:t>
      </w:r>
    </w:p>
    <w:p>
      <w:pPr>
        <w:spacing w:after="100"/>
      </w:pPr>
      <w:r>
        <w:t xml:space="preserve">步骤 2：左侧使用工艺与阶段树选择业务对象；画布上方的工艺、序列、PHASE 下拉框用于快速切换。</w:t>
      </w:r>
    </w:p>
    <w:p>
      <w:pPr>
        <w:spacing w:after="100"/>
      </w:pPr>
      <w:r>
        <w:t xml:space="preserve">步骤 3：先上传图纸并建立项目，再配置工艺与阶段。已有项目可直接选中一个 Phase，核对图纸后开始操作。</w:t>
      </w:r>
    </w:p>
    <w:p>
      <w:pPr>
        <w:jc w:val="center"/>
      </w:pPr>
      <w:r>
        <w:drawing>
          <wp:inline distT="0" distB="0" distL="0" distR="0">
            <wp:extent cx="6305550" cy="4381500"/>
            <wp:effectExtent t="0" r="0" b="0" l="0"/>
            <wp:docPr id="1" name="01-workspace" descr="真实界面截图，红色框线与数字标记操作位置" title="01-work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t xml:space="preserve">图 2　1 图纸库；2 项目管理；3 报告</w:t>
      </w:r>
    </w:p>
    <w:p>
      <w:pPr>
        <w:spacing w:after="100"/>
      </w:pPr>
      <w:r>
        <w:t xml:space="preserve">预期结果：能够识别当前项目、当前阶段和相关操作入口。</w:t>
      </w:r>
    </w:p>
    <w:p>
      <w:pPr>
        <w:spacing w:after="100"/>
      </w:pPr>
      <w:r>
        <w:t xml:space="preserve">注意事项：中文与英文按钮名称不同，但业务层级一致。窗口较窄时侧栏可能改为抽屉，请使用“工艺与阶段”入口展开。</w:t>
      </w:r>
    </w:p>
    <w:p>
      <w:pPr>
        <w:pStyle w:val="Heading1"/>
        <w:pageBreakBefore/>
        <w:spacing w:after="180"/>
      </w:pPr>
      <w:bookmarkStart w:name="section_5" w:id="1"/>
      <w:r>
        <w:t xml:space="preserve">5.1 上传 PID 图纸</w:t>
      </w:r>
      <w:bookmarkEnd w:id="1"/>
    </w:p>
    <w:p>
      <w:pPr>
        <w:spacing w:after="100"/>
      </w:pPr>
      <w:r>
        <w:t xml:space="preserve">操作目的：将图纸资源上传到后台图纸库，供项目关联使用。</w:t>
      </w:r>
    </w:p>
    <w:p>
      <w:pPr>
        <w:spacing w:after="100"/>
      </w:pPr>
      <w:r>
        <w:t xml:space="preserve">前置条件：后台可访问，已准备好部署方确认支持的文件格式。</w:t>
      </w:r>
    </w:p>
    <w:p>
      <w:pPr>
        <w:spacing w:after="100"/>
      </w:pPr>
      <w:r>
        <w:t xml:space="preserve">步骤 1：点击顶栏“PID 图纸”，进入“PID 图纸库”。</w:t>
      </w:r>
    </w:p>
    <w:p>
      <w:pPr>
        <w:spacing w:after="100"/>
      </w:pPr>
      <w:r>
        <w:t xml:space="preserve">步骤 2：在红框 1 输入便于识别的图纸名称；图号为可选项。在红框 2 选择本地文件。</w:t>
      </w:r>
    </w:p>
    <w:p>
      <w:pPr>
        <w:spacing w:after="100"/>
      </w:pPr>
      <w:r>
        <w:t xml:space="preserve">步骤 3：核对名称和文件后，点击红框 3“上传”，等待上传提示和列表更新。</w:t>
      </w:r>
    </w:p>
    <w:p>
      <w:pPr>
        <w:jc w:val="center"/>
      </w:pPr>
      <w:r>
        <w:drawing>
          <wp:inline distT="0" distB="0" distL="0" distR="0">
            <wp:extent cx="3981450" cy="4381500"/>
            <wp:effectExtent t="0" r="0" b="0" l="0"/>
            <wp:docPr id="1" name="04-library" descr="真实界面截图，红色框线与数字标记操作位置" title="04-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t xml:space="preserve">图 3　1 图纸名称；2 选择文件；3 上传</w:t>
      </w:r>
    </w:p>
    <w:p>
      <w:pPr>
        <w:spacing w:after="100"/>
      </w:pPr>
      <w:r>
        <w:t xml:space="preserve">预期结果：上传成功后，右侧列表出现对应资源及状态。</w:t>
      </w:r>
    </w:p>
    <w:p>
      <w:pPr>
        <w:spacing w:after="100"/>
      </w:pPr>
      <w:r>
        <w:t xml:space="preserve">注意事项：文件会上传并保存在服务器，不是仅保存在浏览器。不要将“已上传”直接理解为所有解析工作已经完成。</w:t>
      </w:r>
    </w:p>
    <w:p>
      <w:pPr>
        <w:pStyle w:val="Heading1"/>
        <w:pageBreakBefore/>
        <w:spacing w:after="180"/>
      </w:pPr>
      <w:bookmarkStart w:name="section_6" w:id="1"/>
      <w:r>
        <w:t xml:space="preserve">5.2 搜索、查看与处理图纸问题</w:t>
      </w:r>
      <w:bookmarkEnd w:id="1"/>
    </w:p>
    <w:p>
      <w:pPr>
        <w:spacing w:after="100"/>
      </w:pPr>
      <w:r>
        <w:t xml:space="preserve">操作目的：从图纸库定位资源并检查可用状态。</w:t>
      </w:r>
    </w:p>
    <w:p>
      <w:pPr>
        <w:spacing w:after="100"/>
      </w:pPr>
      <w:r>
        <w:t xml:space="preserve">步骤 1：在红框 1 的搜索框输入名称、图号或文件名，筛选图纸列表。</w:t>
      </w:r>
    </w:p>
    <w:p>
      <w:pPr>
        <w:spacing w:after="100"/>
      </w:pPr>
      <w:r>
        <w:t xml:space="preserve">步骤 2：核对目标行的名称、文件名、上传时间和状态，点击红框 2“查看图纸”图标。</w:t>
      </w:r>
    </w:p>
    <w:p>
      <w:pPr>
        <w:spacing w:after="100"/>
      </w:pPr>
      <w:r>
        <w:t xml:space="preserve">步骤 3：若该资源提供“查看解析摘要”或“重试处理”，可查看实体、连接和告警信息，或在确认原因后重试。入口是否可用取决于资源状态。</w:t>
      </w:r>
    </w:p>
    <w:p>
      <w:pPr>
        <w:jc w:val="center"/>
      </w:pPr>
      <w:r>
        <w:drawing>
          <wp:inline distT="0" distB="0" distL="0" distR="0">
            <wp:extent cx="6076950" cy="3733800"/>
            <wp:effectExtent t="0" r="0" b="0" l="0"/>
            <wp:docPr id="1" name="18-library-search" descr="真实界面截图，红色框线与数字标记操作位置" title="18-library-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t xml:space="preserve">图 4　1 搜索；2 查看图纸</w:t>
      </w:r>
    </w:p>
    <w:p>
      <w:pPr>
        <w:spacing w:after="100"/>
      </w:pPr>
      <w:r>
        <w:t xml:space="preserve">预期结果：打开目标图纸，或获得进一步排查所需的状态信息。</w:t>
      </w:r>
    </w:p>
    <w:p>
      <w:pPr>
        <w:spacing w:after="100"/>
      </w:pPr>
      <w:r>
        <w:t xml:space="preserve">注意事项：当前实例未展示可用的解析摘要窗口，因此本手册不提供虚构摘要截图。删除图纸前应检查关联项目与阶段；不可将删除操作视为可撤销。</w:t>
      </w:r>
    </w:p>
    <w:p>
      <w:pPr>
        <w:pStyle w:val="Heading1"/>
        <w:pageBreakBefore/>
        <w:spacing w:after="180"/>
      </w:pPr>
      <w:bookmarkStart w:name="section_7" w:id="1"/>
      <w:r>
        <w:t xml:space="preserve">6.1 查看与管理 Project</w:t>
      </w:r>
      <w:bookmarkEnd w:id="1"/>
    </w:p>
    <w:p>
      <w:pPr>
        <w:spacing w:after="100"/>
      </w:pPr>
      <w:r>
        <w:t xml:space="preserve">操作目的：定位项目，检查项目包含的图纸。</w:t>
      </w:r>
    </w:p>
    <w:p>
      <w:pPr>
        <w:spacing w:after="100"/>
      </w:pPr>
      <w:r>
        <w:t xml:space="preserve">步骤 1：点击顶栏“Project”，打开项目管理窗口。</w:t>
      </w:r>
    </w:p>
    <w:p>
      <w:pPr>
        <w:spacing w:after="100"/>
      </w:pPr>
      <w:r>
        <w:t xml:space="preserve">步骤 2：在红框 1 的项目列表中选择目标项目，检查右侧项目名称、描述和关联 PID。</w:t>
      </w:r>
    </w:p>
    <w:p>
      <w:pPr>
        <w:spacing w:after="100"/>
      </w:pPr>
      <w:r>
        <w:t xml:space="preserve">步骤 3：需要新增项目时点击红框 2 的“新建 Project”图标；需要修改已有项目时先选中它，再使用“编辑”。</w:t>
      </w:r>
    </w:p>
    <w:p>
      <w:pPr>
        <w:jc w:val="center"/>
      </w:pPr>
      <w:r>
        <w:drawing>
          <wp:inline distT="0" distB="0" distL="0" distR="0">
            <wp:extent cx="2295525" cy="4381500"/>
            <wp:effectExtent t="0" r="0" b="0" l="0"/>
            <wp:docPr id="1" name="02-projects" descr="真实界面截图，红色框线与数字标记操作位置" title="02-proje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t xml:space="preserve">图 5　1 项目列表；2 新建项目</w:t>
      </w:r>
    </w:p>
    <w:p>
      <w:pPr>
        <w:spacing w:after="100"/>
      </w:pPr>
      <w:r>
        <w:t xml:space="preserve">预期结果：查看选中项目详情或进入项目编辑状态。</w:t>
      </w:r>
    </w:p>
    <w:p>
      <w:pPr>
        <w:spacing w:after="100"/>
      </w:pPr>
      <w:r>
        <w:t xml:space="preserve">注意事项：关闭窗口后应再次核对顶栏当前 Project，不能只凭列表中曾经选中过某项就判断活动项目已经切换。</w:t>
      </w:r>
    </w:p>
    <w:p>
      <w:pPr>
        <w:pStyle w:val="Heading1"/>
        <w:pageBreakBefore/>
        <w:spacing w:after="180"/>
      </w:pPr>
      <w:bookmarkStart w:name="section_8" w:id="1"/>
      <w:r>
        <w:t xml:space="preserve">6.2 创建或修改项目</w:t>
      </w:r>
      <w:bookmarkEnd w:id="1"/>
    </w:p>
    <w:p>
      <w:pPr>
        <w:spacing w:after="100"/>
      </w:pPr>
      <w:r>
        <w:t xml:space="preserve">操作目的：建立项目基本信息及 PID 关联。</w:t>
      </w:r>
    </w:p>
    <w:p>
      <w:pPr>
        <w:spacing w:after="100"/>
      </w:pPr>
      <w:r>
        <w:t xml:space="preserve">前置条件：图纸库中已有所需资源。</w:t>
      </w:r>
    </w:p>
    <w:p>
      <w:pPr>
        <w:spacing w:after="100"/>
      </w:pPr>
      <w:r>
        <w:t xml:space="preserve">步骤 1：点击“新建 Project”，在红框 1 填写项目名称，并按需填写描述。</w:t>
      </w:r>
    </w:p>
    <w:p>
      <w:pPr>
        <w:spacing w:after="100"/>
      </w:pPr>
      <w:r>
        <w:t xml:space="preserve">步骤 2：在“选择 PID”区域搜索并勾选图纸，核对红框 2 内选中项。</w:t>
      </w:r>
    </w:p>
    <w:p>
      <w:pPr>
        <w:spacing w:after="100"/>
      </w:pPr>
      <w:r>
        <w:t xml:space="preserve">步骤 3：点击红框 3“创建 Project”。编辑已有项目时对应操作为“保存更改”，等待成功提示后复核关联列表。</w:t>
      </w:r>
    </w:p>
    <w:p>
      <w:pPr>
        <w:jc w:val="center"/>
      </w:pPr>
      <w:r>
        <w:drawing>
          <wp:inline distT="0" distB="0" distL="0" distR="0">
            <wp:extent cx="5191125" cy="4381500"/>
            <wp:effectExtent t="0" r="0" b="0" l="0"/>
            <wp:docPr id="1" name="03-project-create" descr="真实界面截图，红色框线与数字标记操作位置" title="03-project-cre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t xml:space="preserve">图 6　1 基本信息；2 选择图纸；3 创建</w:t>
      </w:r>
    </w:p>
    <w:p>
      <w:pPr>
        <w:spacing w:after="100"/>
      </w:pPr>
      <w:r>
        <w:t xml:space="preserve">预期结果：项目列表中可查到项目，项目包含预期 PID。</w:t>
      </w:r>
    </w:p>
    <w:p>
      <w:pPr>
        <w:spacing w:after="100"/>
      </w:pPr>
      <w:r>
        <w:t xml:space="preserve">注意事项：减少关联图纸或删除项目可能影响后续阶段配置。先确认业务数据保留策略和影响范围；本手册不承诺级联删除或恢复行为。</w:t>
      </w:r>
    </w:p>
    <w:p>
      <w:pPr>
        <w:pStyle w:val="Heading1"/>
        <w:pageBreakBefore/>
        <w:spacing w:after="180"/>
      </w:pPr>
      <w:bookmarkStart w:name="section_9" w:id="1"/>
      <w:r>
        <w:t xml:space="preserve">7.1 工艺与阶段导航</w:t>
      </w:r>
      <w:bookmarkEnd w:id="1"/>
    </w:p>
    <w:p>
      <w:pPr>
        <w:spacing w:after="100"/>
      </w:pPr>
      <w:r>
        <w:t xml:space="preserve">操作目的：选择工艺，并定位目标序列和阶段。</w:t>
      </w:r>
    </w:p>
    <w:p>
      <w:pPr>
        <w:spacing w:after="100"/>
      </w:pPr>
      <w:r>
        <w:t xml:space="preserve">步骤 1：使用红框 1 切换当前工艺。没有工艺时使用旁边“新增工艺”图标，填写名称并确认。</w:t>
      </w:r>
    </w:p>
    <w:p>
      <w:pPr>
        <w:spacing w:after="100"/>
      </w:pPr>
      <w:r>
        <w:t xml:space="preserve">步骤 2：在“工艺结构”中展开序列，点击 Phase 行激活阶段；等待关联图纸和已保存状态恢复。</w:t>
      </w:r>
    </w:p>
    <w:p>
      <w:pPr>
        <w:spacing w:after="100"/>
      </w:pPr>
      <w:r>
        <w:t xml:space="preserve">步骤 3：红框 2 用于新增序列，红框 3 用于创建 Phase。进入配置前，核对“当前阶段概览”的阶段名和图纸名。</w:t>
      </w:r>
    </w:p>
    <w:p>
      <w:pPr>
        <w:jc w:val="center"/>
      </w:pPr>
      <w:r>
        <w:drawing>
          <wp:inline distT="0" distB="0" distL="0" distR="0">
            <wp:extent cx="1704975" cy="4381500"/>
            <wp:effectExtent t="0" r="0" b="0" l="0"/>
            <wp:docPr id="1" name="06-phase" descr="真实界面截图，红色框线与数字标记操作位置" title="06-ph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t xml:space="preserve">图 7　1 工艺选择；2 新增序列；3 创建阶段</w:t>
      </w:r>
    </w:p>
    <w:p>
      <w:pPr>
        <w:spacing w:after="100"/>
      </w:pPr>
      <w:r>
        <w:t xml:space="preserve">预期结果：侧栏、上下文栏和画布显示同一目标阶段。</w:t>
      </w:r>
    </w:p>
    <w:p>
      <w:pPr>
        <w:spacing w:after="100"/>
      </w:pPr>
      <w:r>
        <w:t xml:space="preserve">注意事项：修改工艺、序列或阶段前先保存当前工作。删除工艺不是清空当前筛选条件，必须谨慎确认。</w:t>
      </w:r>
    </w:p>
    <w:p>
      <w:pPr>
        <w:pStyle w:val="Heading1"/>
        <w:pageBreakBefore/>
        <w:spacing w:after="180"/>
      </w:pPr>
      <w:bookmarkStart w:name="section_10" w:id="1"/>
      <w:r>
        <w:t xml:space="preserve">7.2 创建、复制与排序序列</w:t>
      </w:r>
      <w:bookmarkEnd w:id="1"/>
    </w:p>
    <w:p>
      <w:pPr>
        <w:spacing w:after="100"/>
      </w:pPr>
      <w:r>
        <w:t xml:space="preserve">操作目的：组织工艺中的阶段执行顺序。</w:t>
      </w:r>
    </w:p>
    <w:p>
      <w:pPr>
        <w:spacing w:after="100"/>
      </w:pPr>
      <w:r>
        <w:t xml:space="preserve">步骤 1：选择当前工艺，点击“新增序列”。在红框 1 输入正整数编号，在红框 2 输入名称。</w:t>
      </w:r>
    </w:p>
    <w:p>
      <w:pPr>
        <w:spacing w:after="100"/>
      </w:pPr>
      <w:r>
        <w:t xml:space="preserve">步骤 2：点击红框 3“创建”，等待保存提示并检查工艺树。</w:t>
      </w:r>
    </w:p>
    <w:p>
      <w:pPr>
        <w:spacing w:after="100"/>
      </w:pPr>
      <w:r>
        <w:t xml:space="preserve">步骤 3：已有序列可使用行内的复制、重命名、上移、下移或删除图标。悬停查看提示后再操作；复制后检查名称、编号和阶段内容。</w:t>
      </w:r>
    </w:p>
    <w:p>
      <w:pPr>
        <w:jc w:val="center"/>
      </w:pPr>
      <w:r>
        <w:drawing>
          <wp:inline distT="0" distB="0" distL="0" distR="0">
            <wp:extent cx="6343650" cy="3562350"/>
            <wp:effectExtent t="0" r="0" b="0" l="0"/>
            <wp:docPr id="1" name="15-sequence" descr="真实界面截图，红色框线与数字标记操作位置" title="15-se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t xml:space="preserve">图 8　1 序列编号；2 序列名称；3 创建</w:t>
      </w:r>
    </w:p>
    <w:p>
      <w:pPr>
        <w:spacing w:after="100"/>
      </w:pPr>
      <w:r>
        <w:t xml:space="preserve">预期结果：序列出现在目标工艺下，顺序与预期一致。</w:t>
      </w:r>
    </w:p>
    <w:p>
      <w:pPr>
        <w:spacing w:after="100"/>
      </w:pPr>
      <w:r>
        <w:t xml:space="preserve">注意事项：删除序列前确认其中所有 Phase 的业务用途；不要依赖浏览器刷新来撤销已提交操作。</w:t>
      </w:r>
    </w:p>
    <w:p>
      <w:pPr>
        <w:pStyle w:val="Heading1"/>
        <w:pageBreakBefore/>
        <w:spacing w:after="180"/>
      </w:pPr>
      <w:bookmarkStart w:name="section_11" w:id="1"/>
      <w:r>
        <w:t xml:space="preserve">7.3 创建 Phase</w:t>
      </w:r>
      <w:bookmarkEnd w:id="1"/>
    </w:p>
    <w:p>
      <w:pPr>
        <w:spacing w:after="100"/>
      </w:pPr>
      <w:r>
        <w:t xml:space="preserve">操作目的：为当前序列增加一个工艺阶段。</w:t>
      </w:r>
    </w:p>
    <w:p>
      <w:pPr>
        <w:spacing w:after="100"/>
      </w:pPr>
      <w:r>
        <w:t xml:space="preserve">前置条件：已选择工艺与目标序列。</w:t>
      </w:r>
    </w:p>
    <w:p>
      <w:pPr>
        <w:spacing w:after="100"/>
      </w:pPr>
      <w:r>
        <w:t xml:space="preserve">步骤 1：点击“创建 Phase”。在红框 1 填写正整数阶段编号，在红框 2 填写阶段名称。</w:t>
      </w:r>
    </w:p>
    <w:p>
      <w:pPr>
        <w:spacing w:after="100"/>
      </w:pPr>
      <w:r>
        <w:t xml:space="preserve">步骤 2：在红框 3 选择创建方式：继承上一阶段、继承历史阶段、稍后关联图纸，或使用 Project PID。</w:t>
      </w:r>
    </w:p>
    <w:p>
      <w:pPr>
        <w:spacing w:after="100"/>
      </w:pPr>
      <w:r>
        <w:t xml:space="preserve">步骤 3：根据所选方式补充历史阶段、项目图纸或图纸显示名，再点击窗口底部“创建 Phase”。</w:t>
      </w:r>
    </w:p>
    <w:p>
      <w:pPr>
        <w:jc w:val="center"/>
      </w:pPr>
      <w:r>
        <w:drawing>
          <wp:inline distT="0" distB="0" distL="0" distR="0">
            <wp:extent cx="6343650" cy="2590800"/>
            <wp:effectExtent t="0" r="0" b="0" l="0"/>
            <wp:docPr id="1" name="07-phase-create" descr="真实界面截图，红色框线与数字标记操作位置" title="07-phase-cre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t xml:space="preserve">图 9　1 编号；2 名称；3 创建方式</w:t>
      </w:r>
    </w:p>
    <w:p>
      <w:pPr>
        <w:spacing w:after="100"/>
      </w:pPr>
      <w:r>
        <w:t xml:space="preserve">预期结果：目标序列出现新阶段；有图纸来源时可激活查看，无图纸时显示待关联状态。</w:t>
      </w:r>
    </w:p>
    <w:p>
      <w:pPr>
        <w:spacing w:after="100"/>
      </w:pPr>
      <w:r>
        <w:t xml:space="preserve">注意事项：继承阶段后必须检查复制来的设备状态和高亮是否适用。不要沿用与新阶段无关的标注。</w:t>
      </w:r>
    </w:p>
    <w:p>
      <w:pPr>
        <w:pStyle w:val="Heading1"/>
        <w:pageBreakBefore/>
        <w:spacing w:after="180"/>
      </w:pPr>
      <w:bookmarkStart w:name="section_12" w:id="1"/>
      <w:r>
        <w:t xml:space="preserve">7.4 关联或更换阶段图纸</w:t>
      </w:r>
      <w:bookmarkEnd w:id="1"/>
    </w:p>
    <w:p>
      <w:pPr>
        <w:spacing w:after="100"/>
      </w:pPr>
      <w:r>
        <w:t xml:space="preserve">操作目的：为阶段选定对应的 PID 资源。</w:t>
      </w:r>
    </w:p>
    <w:p>
      <w:pPr>
        <w:spacing w:after="100"/>
      </w:pPr>
      <w:r>
        <w:t xml:space="preserve">步骤 1：在当前阶段概览点击“关联图纸”或“更换图纸”。</w:t>
      </w:r>
    </w:p>
    <w:p>
      <w:pPr>
        <w:spacing w:after="100"/>
      </w:pPr>
      <w:r>
        <w:t xml:space="preserve">步骤 2：在红框 1 选择“使用 Project PID”或“使用任意已标记 Phase 的图纸”，然后选择对应来源，填写图纸显示名。</w:t>
      </w:r>
    </w:p>
    <w:p>
      <w:pPr>
        <w:spacing w:after="100"/>
      </w:pPr>
      <w:r>
        <w:t xml:space="preserve">步骤 3：核对来源后点击红框 2“确认更换”（首次关联时为“确认关联”），等待图纸加载并检查标注。</w:t>
      </w:r>
    </w:p>
    <w:p>
      <w:pPr>
        <w:jc w:val="center"/>
      </w:pPr>
      <w:r>
        <w:drawing>
          <wp:inline distT="0" distB="0" distL="0" distR="0">
            <wp:extent cx="6343650" cy="4086225"/>
            <wp:effectExtent t="0" r="0" b="0" l="0"/>
            <wp:docPr id="1" name="08-phase-drawing" descr="真实界面截图，红色框线与数字标记操作位置" title="08-phase-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t xml:space="preserve">图 10　1 来源；2 确认</w:t>
      </w:r>
    </w:p>
    <w:p>
      <w:pPr>
        <w:spacing w:after="100"/>
      </w:pPr>
      <w:r>
        <w:t xml:space="preserve">预期结果：阶段概览和画布显示目标图纸。</w:t>
      </w:r>
    </w:p>
    <w:p>
      <w:pPr>
        <w:spacing w:after="100"/>
      </w:pPr>
      <w:r>
        <w:t xml:space="preserve">注意事项：候选 Project PID 应属于当前项目。更换不同实体结构的图纸可能使原高亮或设备引用不再适用，必须逐项复核。修改显示名不会重命名原始文件。</w:t>
      </w:r>
    </w:p>
    <w:p>
      <w:pPr>
        <w:pStyle w:val="Heading1"/>
        <w:pageBreakBefore/>
        <w:spacing w:after="180"/>
      </w:pPr>
      <w:bookmarkStart w:name="section_13" w:id="1"/>
      <w:r>
        <w:t xml:space="preserve">7.5 复制阶段与调整顺序</w:t>
      </w:r>
      <w:bookmarkEnd w:id="1"/>
    </w:p>
    <w:p>
      <w:pPr>
        <w:spacing w:after="100"/>
      </w:pPr>
      <w:r>
        <w:t xml:space="preserve">操作目的：复用历史配置并维护阶段排列。</w:t>
      </w:r>
    </w:p>
    <w:p>
      <w:pPr>
        <w:spacing w:after="100"/>
      </w:pPr>
      <w:r>
        <w:t xml:space="preserve">步骤 1：在来源 Phase 行点击“复制 Phase”。在红框 1 选择目标序列。</w:t>
      </w:r>
    </w:p>
    <w:p>
      <w:pPr>
        <w:spacing w:after="100"/>
      </w:pPr>
      <w:r>
        <w:t xml:space="preserve">步骤 2：在红框 2、3 填写新编号和名称，核对来源阶段后点击“复制”。</w:t>
      </w:r>
    </w:p>
    <w:p>
      <w:pPr>
        <w:spacing w:after="100"/>
      </w:pPr>
      <w:r>
        <w:t xml:space="preserve">步骤 3：激活复制结果并检查图纸与状态；用行内上移、下移或界面提供的拖动入口调整顺序。</w:t>
      </w:r>
    </w:p>
    <w:p>
      <w:pPr>
        <w:jc w:val="center"/>
      </w:pPr>
      <w:r>
        <w:drawing>
          <wp:inline distT="0" distB="0" distL="0" distR="0">
            <wp:extent cx="6343650" cy="3714750"/>
            <wp:effectExtent t="0" r="0" b="0" l="0"/>
            <wp:docPr id="1" name="17-phase-copy" descr="真实界面截图，红色框线与数字标记操作位置" title="17-phase-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t xml:space="preserve">图 11　1 目标序列；2 编号；3 名称</w:t>
      </w:r>
    </w:p>
    <w:p>
      <w:pPr>
        <w:spacing w:after="100"/>
      </w:pPr>
      <w:r>
        <w:t xml:space="preserve">预期结果：目标序列出现独立的新 Phase，配置可继续编辑。</w:t>
      </w:r>
    </w:p>
    <w:p>
      <w:pPr>
        <w:spacing w:after="100"/>
      </w:pPr>
      <w:r>
        <w:t xml:space="preserve">注意事项：避免阶段编号重复。删除 Phase 会移除其已保存状态，界面明确提示无法撤销；删除前应取得业务确认。</w:t>
      </w:r>
    </w:p>
    <w:p>
      <w:pPr>
        <w:pStyle w:val="Heading1"/>
        <w:pageBreakBefore/>
        <w:spacing w:after="180"/>
      </w:pPr>
      <w:bookmarkStart w:name="section_14" w:id="1"/>
      <w:r>
        <w:t xml:space="preserve">7.6 Tank 归属、筛选与定位</w:t>
      </w:r>
      <w:bookmarkEnd w:id="1"/>
    </w:p>
    <w:p>
      <w:pPr>
        <w:spacing w:after="100"/>
      </w:pPr>
      <w:r>
        <w:t xml:space="preserve">操作目的：按 Tank 组织和检查阶段。</w:t>
      </w:r>
    </w:p>
    <w:p>
      <w:pPr>
        <w:spacing w:after="100"/>
      </w:pPr>
      <w:r>
        <w:t xml:space="preserve">步骤 1：使用红框 1“当前 Tank”筛选阶段，可选择全部、未分配或解析得到的 Tank。</w:t>
      </w:r>
    </w:p>
    <w:p>
      <w:pPr>
        <w:spacing w:after="100"/>
      </w:pPr>
      <w:r>
        <w:t xml:space="preserve">步骤 2：选择具体 Tank 后，使用红框 2“定位 Tank”在图纸中定位；不可用时检查图纸是否已加载及解析数据是否存在。</w:t>
      </w:r>
    </w:p>
    <w:p>
      <w:pPr>
        <w:spacing w:after="100"/>
      </w:pPr>
      <w:r>
        <w:t xml:space="preserve">步骤 3：在当前阶段概览使用红框 3“Phase 所属 Tank”设置阶段归属，并检查保存提示。</w:t>
      </w:r>
    </w:p>
    <w:p>
      <w:pPr>
        <w:jc w:val="center"/>
      </w:pPr>
      <w:r>
        <w:drawing>
          <wp:inline distT="0" distB="0" distL="0" distR="0">
            <wp:extent cx="2324100" cy="4381500"/>
            <wp:effectExtent t="0" r="0" b="0" l="0"/>
            <wp:docPr id="1" name="16-tank" descr="真实界面截图，红色框线与数字标记操作位置" title="16-ta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t xml:space="preserve">图 12　1 筛选 Tank；2 定位 Tank；3 阶段归属</w:t>
      </w:r>
    </w:p>
    <w:p>
      <w:pPr>
        <w:spacing w:after="100"/>
      </w:pPr>
      <w:r>
        <w:t xml:space="preserve">预期结果：阶段归属与筛选结果一致，具备有效解析数据时能够定位 Tank。</w:t>
      </w:r>
    </w:p>
    <w:p>
      <w:pPr>
        <w:spacing w:after="100"/>
      </w:pPr>
      <w:r>
        <w:t xml:space="preserve">注意事项：筛选条件和阶段归属是不同操作。切换筛选并不等于修改阶段所属 Tank。</w:t>
      </w:r>
    </w:p>
    <w:p>
      <w:pPr>
        <w:pStyle w:val="Heading1"/>
        <w:pageBreakBefore/>
        <w:spacing w:after="180"/>
      </w:pPr>
      <w:bookmarkStart w:name="section_15" w:id="1"/>
      <w:r>
        <w:t xml:space="preserve">8 图纸浏览与基础工具</w:t>
      </w:r>
      <w:bookmarkEnd w:id="1"/>
    </w:p>
    <w:p>
      <w:pPr>
        <w:spacing w:after="100"/>
      </w:pPr>
      <w:r>
        <w:t xml:space="preserve">操作目的：定位设备和管线，为后续标注做好准备。</w:t>
      </w:r>
    </w:p>
    <w:p>
      <w:pPr>
        <w:spacing w:after="100"/>
      </w:pPr>
      <w:r>
        <w:t xml:space="preserve">步骤 1：在画布上滚动鼠标滚轮缩放，按住鼠标中键拖动平移；使用“缩放至范围”（红框 1）恢复全图视野。</w:t>
      </w:r>
    </w:p>
    <w:p>
      <w:pPr>
        <w:spacing w:after="100"/>
      </w:pPr>
      <w:r>
        <w:t xml:space="preserve">步骤 2：使用“窗口缩放”框定查看范围；使用“图层管理器”检查图层可见性。测量入口用于辅助查看图上距离。</w:t>
      </w:r>
    </w:p>
    <w:p>
      <w:pPr>
        <w:spacing w:after="100"/>
      </w:pPr>
      <w:r>
        <w:t xml:space="preserve">步骤 3：红框 2、3 分别是画笔与擦除入口。普通浏览时先退出绘制模式，避免把拖动画布误操作为标注。</w:t>
      </w:r>
    </w:p>
    <w:p>
      <w:pPr>
        <w:jc w:val="center"/>
      </w:pPr>
      <w:r>
        <w:drawing>
          <wp:inline distT="0" distB="0" distL="0" distR="0">
            <wp:extent cx="6305550" cy="4381500"/>
            <wp:effectExtent t="0" r="0" b="0" l="0"/>
            <wp:docPr id="1" name="19-tools" descr="真实界面截图，红色框线与数字标记操作位置" title="19-to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t xml:space="preserve">图 13　1 缩放至范围；2 画笔；3 擦除</w:t>
      </w:r>
    </w:p>
    <w:p>
      <w:pPr>
        <w:spacing w:after="100"/>
      </w:pPr>
      <w:r>
        <w:t xml:space="preserve">预期结果：能够清晰查看目标设备和管线，工具模式与预期一致。</w:t>
      </w:r>
    </w:p>
    <w:p>
      <w:pPr>
        <w:spacing w:after="100"/>
      </w:pPr>
      <w:r>
        <w:t xml:space="preserve">注意事项：测量值依赖图纸单位与几何数据，使用前需确认比例及单位，不能直接替代正式工程测量。擦除高亮与删除 CAD 实体不是同一操作。</w:t>
      </w:r>
    </w:p>
    <w:p>
      <w:pPr>
        <w:pStyle w:val="Heading1"/>
        <w:pageBreakBefore/>
        <w:spacing w:after="180"/>
      </w:pPr>
      <w:bookmarkStart w:name="section_16" w:id="1"/>
      <w:r>
        <w:t xml:space="preserve">9.1 画笔标注与擦除</w:t>
      </w:r>
      <w:bookmarkEnd w:id="1"/>
    </w:p>
    <w:p>
      <w:pPr>
        <w:spacing w:after="100"/>
      </w:pPr>
      <w:r>
        <w:t xml:space="preserve">操作目的：手动标记需要强调的图纸实体。</w:t>
      </w:r>
    </w:p>
    <w:p>
      <w:pPr>
        <w:spacing w:after="100"/>
      </w:pPr>
      <w:r>
        <w:t xml:space="preserve">前置条件：已激活目标 Phase 并打开图纸。</w:t>
      </w:r>
    </w:p>
    <w:p>
      <w:pPr>
        <w:spacing w:after="100"/>
      </w:pPr>
      <w:r>
        <w:t xml:space="preserve">步骤 1：点击工具栏“画笔”，打开样式选择窗口。在“样式来源”中选择 Utility 预设、设备样式预设或自定义（见图中红框）。</w:t>
      </w:r>
    </w:p>
    <w:p>
      <w:pPr>
        <w:spacing w:after="100"/>
      </w:pPr>
      <w:r>
        <w:t xml:space="preserve">步骤 2：按所选来源设置样式或颜色、透明度、线宽，检查预览后点击“应用并关闭”。</w:t>
      </w:r>
    </w:p>
    <w:p>
      <w:pPr>
        <w:spacing w:after="100"/>
      </w:pPr>
      <w:r>
        <w:t xml:space="preserve">步骤 3：在画布目标实体上按下并拖动鼠标进行标注。需要移除手动标注时使用“擦除”；结束后按 Escape 退出画笔模式，再保存阶段。</w:t>
      </w:r>
    </w:p>
    <w:p>
      <w:pPr>
        <w:jc w:val="center"/>
      </w:pPr>
      <w:r>
        <w:drawing>
          <wp:inline distT="0" distB="0" distL="0" distR="0">
            <wp:extent cx="6343650" cy="3590925"/>
            <wp:effectExtent t="0" r="0" b="0" l="0"/>
            <wp:docPr id="1" name="20-brush" descr="真实界面截图，红色框线与数字标记操作位置" title="20-bru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t xml:space="preserve">图 14　1 样式来源；2 应用</w:t>
      </w:r>
    </w:p>
    <w:p>
      <w:pPr>
        <w:spacing w:after="100"/>
      </w:pPr>
      <w:r>
        <w:t xml:space="preserve">预期结果：目标实体显示选定高亮样式，擦除后对应手动高亮消失。</w:t>
      </w:r>
    </w:p>
    <w:p>
      <w:pPr>
        <w:spacing w:after="100"/>
      </w:pPr>
      <w:r>
        <w:t xml:space="preserve">注意事项：画笔按命中的图纸实体应用样式，不是自由绘图涂色。不要用删除实体的操作代替高亮擦除。</w:t>
      </w:r>
    </w:p>
    <w:p>
      <w:pPr>
        <w:pStyle w:val="Heading1"/>
        <w:pageBreakBefore/>
        <w:spacing w:after="180"/>
      </w:pPr>
      <w:bookmarkStart w:name="section_17" w:id="1"/>
      <w:r>
        <w:t xml:space="preserve">9.2 设备状态与连通流路</w:t>
      </w:r>
      <w:bookmarkEnd w:id="1"/>
    </w:p>
    <w:p>
      <w:pPr>
        <w:spacing w:after="100"/>
      </w:pPr>
      <w:r>
        <w:t xml:space="preserve">操作目的：在当前阶段表达设备状态，并检查连通高亮结果。</w:t>
      </w:r>
    </w:p>
    <w:p>
      <w:pPr>
        <w:spacing w:after="100"/>
      </w:pPr>
      <w:r>
        <w:t xml:space="preserve">步骤 1：确认当前 Phase 与图纸，放大目标设备，在支持的设备对象上打开右键菜单，选择业务需要的状态。可用状态由设备类型与样式配置决定。</w:t>
      </w:r>
    </w:p>
    <w:p>
      <w:pPr>
        <w:spacing w:after="100"/>
      </w:pPr>
      <w:r>
        <w:t xml:space="preserve">步骤 2：对于启用“选择此状态时自动高亮流路”的状态，检查设备状态应用后的连通高亮；没有启用 Utility 时，可能只应用设备状态而不创建流路高亮。</w:t>
      </w:r>
    </w:p>
    <w:p>
      <w:pPr>
        <w:spacing w:after="100"/>
      </w:pPr>
      <w:r>
        <w:t xml:space="preserve">步骤 3：检查预期起点、经过设备和截断位置。当前实例的阀门调试区显示起点、状态、节点和截断结果，可作为人工复核辅助。完成后使用顶部“保存”。</w:t>
      </w:r>
    </w:p>
    <w:p>
      <w:pPr>
        <w:jc w:val="center"/>
      </w:pPr>
      <w:r>
        <w:drawing>
          <wp:inline distT="0" distB="0" distL="0" distR="0">
            <wp:extent cx="6305550" cy="4381500"/>
            <wp:effectExtent t="0" r="0" b="0" l="0"/>
            <wp:docPr id="1" name="19-tools" descr="真实界面截图，红色框线与数字标记操作位置" title="19-to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t xml:space="preserve">图 15　1 缩放至范围；2 画笔；3 擦除</w:t>
      </w:r>
    </w:p>
    <w:p>
      <w:pPr>
        <w:spacing w:after="100"/>
      </w:pPr>
      <w:r>
        <w:t xml:space="preserve">预期结果：设备状态与高亮表达符合该 Phase 的工艺意图。</w:t>
      </w:r>
    </w:p>
    <w:p>
      <w:pPr>
        <w:spacing w:after="100"/>
      </w:pPr>
      <w:r>
        <w:t xml:space="preserve">注意事项：图示是已有阶段的真实显示结果，不是本次新执行状态切换的验收截图。连通结果依赖解析连接、设备状态和规则，不应等同于现场控制动作、液压计算或安全联锁校验。</w:t>
      </w:r>
    </w:p>
    <w:p>
      <w:pPr>
        <w:pStyle w:val="Heading1"/>
        <w:pageBreakBefore/>
        <w:spacing w:after="180"/>
      </w:pPr>
      <w:bookmarkStart w:name="section_18" w:id="1"/>
      <w:r>
        <w:t xml:space="preserve">9.3 配置设备与 Utility 高亮样式</w:t>
      </w:r>
      <w:bookmarkEnd w:id="1"/>
    </w:p>
    <w:p>
      <w:pPr>
        <w:spacing w:after="100"/>
      </w:pPr>
      <w:r>
        <w:t xml:space="preserve">操作目的：统一设备状态和流路的视觉表达。</w:t>
      </w:r>
    </w:p>
    <w:p>
      <w:pPr>
        <w:spacing w:after="100"/>
      </w:pPr>
      <w:r>
        <w:t xml:space="preserve">步骤 1：点击工艺侧栏顶部“高亮样式”图标，打开样式设置。设备页中检查设备名称（红框 1）、状态显示名称（红框 2）及状态 key。</w:t>
      </w:r>
    </w:p>
    <w:p>
      <w:pPr>
        <w:spacing w:after="100"/>
      </w:pPr>
      <w:r>
        <w:t xml:space="preserve">步骤 2：设置颜色、十六进制色值、线宽、透明度，并选择是否自动高亮流路；在红框 3 指定“允许继续”“停止”或“不参与”的流路行为。</w:t>
      </w:r>
    </w:p>
    <w:p>
      <w:pPr>
        <w:spacing w:after="100"/>
      </w:pPr>
      <w:r>
        <w:t xml:space="preserve">步骤 3：Utility 页用于维护介质相关样式。检查后点击“应用”或“应用并关闭”；使用窗口顶部 JSON 导入/下载按钮维护样式文件。</w:t>
      </w:r>
    </w:p>
    <w:p>
      <w:pPr>
        <w:jc w:val="center"/>
      </w:pPr>
      <w:r>
        <w:drawing>
          <wp:inline distT="0" distB="0" distL="0" distR="0">
            <wp:extent cx="6343650" cy="2562225"/>
            <wp:effectExtent t="0" r="0" b="0" l="0"/>
            <wp:docPr id="1" name="10-styles" descr="真实界面截图，红色框线与数字标记操作位置" title="10-sty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t xml:space="preserve">图 16　1 设备名称；2 状态名称；3 流路行为</w:t>
      </w:r>
    </w:p>
    <w:p>
      <w:pPr>
        <w:spacing w:after="100"/>
      </w:pPr>
      <w:r>
        <w:t xml:space="preserve">预期结果：样式保存成功，后续状态与高亮使用预期配置。</w:t>
      </w:r>
    </w:p>
    <w:p>
      <w:pPr>
        <w:spacing w:after="100"/>
      </w:pPr>
      <w:r>
        <w:t xml:space="preserve">注意事项：同一设备内状态 key 不得为空或重复。导入样式前保留原 JSON，并检查既有阶段的样式引用；颜色变化不等于真实设备状态发生改变。</w:t>
      </w:r>
    </w:p>
    <w:p>
      <w:pPr>
        <w:pStyle w:val="Heading1"/>
        <w:pageBreakBefore/>
        <w:spacing w:after="180"/>
      </w:pPr>
      <w:bookmarkStart w:name="section_19" w:id="1"/>
      <w:r>
        <w:t xml:space="preserve">10 导入 Excel 工艺配置</w:t>
      </w:r>
      <w:bookmarkEnd w:id="1"/>
    </w:p>
    <w:p>
      <w:pPr>
        <w:spacing w:after="100"/>
      </w:pPr>
      <w:r>
        <w:t xml:space="preserve">操作目的：将准备好的配置文件交由后台处理。</w:t>
      </w:r>
    </w:p>
    <w:p>
      <w:pPr>
        <w:spacing w:after="100"/>
      </w:pPr>
      <w:r>
        <w:t xml:space="preserve">前置条件：已确认目标项目和工艺，并取得与部署版本匹配的 Excel 模板。</w:t>
      </w:r>
    </w:p>
    <w:p>
      <w:pPr>
        <w:spacing w:after="100"/>
      </w:pPr>
      <w:r>
        <w:t xml:space="preserve">步骤 1：点击画布上方“导入配置”。在红框 1 拖入 Excel 文件，或点击选择文件。界面接受 .xlsx、.xls，并支持多个文件。</w:t>
      </w:r>
    </w:p>
    <w:p>
      <w:pPr>
        <w:spacing w:after="100"/>
      </w:pPr>
      <w:r>
        <w:t xml:space="preserve">步骤 2：核对选中文件的名称和数量，确认没有误选其他项目的配置。</w:t>
      </w:r>
    </w:p>
    <w:p>
      <w:pPr>
        <w:spacing w:after="100"/>
      </w:pPr>
      <w:r>
        <w:t xml:space="preserve">步骤 3：点击红框 2“确定”，等待上传与处理提示；完成后检查生成或更新的工艺、序列、阶段及设备配置。</w:t>
      </w:r>
    </w:p>
    <w:p>
      <w:pPr>
        <w:jc w:val="center"/>
      </w:pPr>
      <w:r>
        <w:drawing>
          <wp:inline distT="0" distB="0" distL="0" distR="0">
            <wp:extent cx="6343650" cy="4152900"/>
            <wp:effectExtent t="0" r="0" b="0" l="0"/>
            <wp:docPr id="1" name="09-import" descr="真实界面截图，红色框线与数字标记操作位置" title="09-im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t xml:space="preserve">图 17　1 选择 Excel；2 导入确认</w:t>
      </w:r>
    </w:p>
    <w:p>
      <w:pPr>
        <w:spacing w:after="100"/>
      </w:pPr>
      <w:r>
        <w:t xml:space="preserve">预期结果：导入流程返回结果，业务树与配置内容经过人工复核。</w:t>
      </w:r>
    </w:p>
    <w:p>
      <w:pPr>
        <w:spacing w:after="100"/>
      </w:pPr>
      <w:r>
        <w:t xml:space="preserve">注意事项：前端文件扩展名校验不等于业务内容校验。模板字段、重复导入、覆盖与合并规则由后台决定，本次未验证；不要假定可安全重复提交。</w:t>
      </w:r>
    </w:p>
    <w:p>
      <w:pPr>
        <w:pStyle w:val="Heading1"/>
        <w:pageBreakBefore/>
        <w:spacing w:after="180"/>
      </w:pPr>
      <w:bookmarkStart w:name="section_20" w:id="1"/>
      <w:r>
        <w:t xml:space="preserve">11 阶段保存与数据保护</w:t>
      </w:r>
      <w:bookmarkEnd w:id="1"/>
    </w:p>
    <w:p>
      <w:pPr>
        <w:spacing w:after="100"/>
      </w:pPr>
      <w:r>
        <w:t xml:space="preserve">操作目的：确保修改作用于正确阶段并获得保存反馈。</w:t>
      </w:r>
    </w:p>
    <w:p>
      <w:pPr>
        <w:spacing w:after="100"/>
      </w:pPr>
      <w:r>
        <w:t xml:space="preserve">步骤 1：先检查红框 1 的 PHASE，确认正在保存的对象；红框 3 是样式设置入口，不是阶段切换入口。</w:t>
      </w:r>
    </w:p>
    <w:p>
      <w:pPr>
        <w:spacing w:after="100"/>
      </w:pPr>
      <w:r>
        <w:t xml:space="preserve">步骤 2：完成设备状态、高亮或业务修改后，点击红框 2“保存”，等待保存状态或通知确认。</w:t>
      </w:r>
    </w:p>
    <w:p>
      <w:pPr>
        <w:spacing w:after="100"/>
      </w:pPr>
      <w:r>
        <w:t xml:space="preserve">步骤 3：成功后再切换阶段或离开页面。需要确认持久化时，可在保存成功后重新激活该阶段核对，避免在保存失败时刷新页面。</w:t>
      </w:r>
    </w:p>
    <w:p>
      <w:pPr>
        <w:jc w:val="center"/>
      </w:pPr>
      <w:r>
        <w:drawing>
          <wp:inline distT="0" distB="0" distL="0" distR="0">
            <wp:extent cx="6343650" cy="923925"/>
            <wp:effectExtent t="0" r="0" b="0" l="0"/>
            <wp:docPr id="1" name="14-save" descr="真实界面截图，红色框线与数字标记操作位置" title="14-s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t xml:space="preserve">图 18　1 阶段切换；2 保存；3 高亮样式</w:t>
      </w:r>
    </w:p>
    <w:p>
      <w:pPr>
        <w:spacing w:after="100"/>
      </w:pPr>
      <w:r>
        <w:t xml:space="preserve">预期结果：界面显示已保存或成功通知，重新进入后配置与预期一致。</w:t>
      </w:r>
    </w:p>
    <w:p>
      <w:pPr>
        <w:spacing w:after="100"/>
      </w:pPr>
      <w:r>
        <w:t xml:space="preserve">注意事项：项目业务数据依赖后台服务，部分界面偏好与本地资源可能保存在浏览器。导出报告不是完整工作区备份；清理站点数据、删除项目或替换图纸前先确认数据保留方案。</w:t>
      </w:r>
    </w:p>
    <w:p>
      <w:pPr>
        <w:pStyle w:val="Heading1"/>
        <w:pageBreakBefore/>
        <w:spacing w:after="180"/>
      </w:pPr>
      <w:bookmarkStart w:name="section_21" w:id="1"/>
      <w:r>
        <w:t xml:space="preserve">12.1 检查报告页面</w:t>
      </w:r>
      <w:bookmarkEnd w:id="1"/>
    </w:p>
    <w:p>
      <w:pPr>
        <w:spacing w:after="100"/>
      </w:pPr>
      <w:r>
        <w:t xml:space="preserve">操作目的：在导出前核对报告包含的阶段与页面来源。</w:t>
      </w:r>
    </w:p>
    <w:p>
      <w:pPr>
        <w:spacing w:after="100"/>
      </w:pPr>
      <w:r>
        <w:t xml:space="preserve">步骤 1：点击顶栏“报告”。红框 1 为页面列表区域，可按 Process、序列或关键词筛选，并检查页数和状态。</w:t>
      </w:r>
    </w:p>
    <w:p>
      <w:pPr>
        <w:spacing w:after="100"/>
      </w:pPr>
      <w:r>
        <w:t xml:space="preserve">步骤 2：使用右侧页签（红框 3）切换“页面属性”，检查所选页的原始来源、状态和问题；按需要排除、恢复或选择替换来源。</w:t>
      </w:r>
    </w:p>
    <w:p>
      <w:pPr>
        <w:spacing w:after="100"/>
      </w:pPr>
      <w:r>
        <w:t xml:space="preserve">步骤 3：回到“页面设置&amp;导出”，检查预检状态。来源缺失、阶段编号重复、图纸加载失败等问题应先修复。</w:t>
      </w:r>
    </w:p>
    <w:p>
      <w:pPr>
        <w:jc w:val="center"/>
      </w:pPr>
      <w:r>
        <w:drawing>
          <wp:inline distT="0" distB="0" distL="0" distR="0">
            <wp:extent cx="6305550" cy="4381500"/>
            <wp:effectExtent t="0" r="0" b="0" l="0"/>
            <wp:docPr id="1" name="11-report" descr="真实界面截图，红色框线与数字标记操作位置" title="11-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t xml:space="preserve">图 19　1 页面列表；2 页面属性；3 导出设置</w:t>
      </w:r>
    </w:p>
    <w:p>
      <w:pPr>
        <w:spacing w:after="100"/>
      </w:pPr>
      <w:r>
        <w:t xml:space="preserve">预期结果：报告页面范围、来源和预检结果符合预期。</w:t>
      </w:r>
    </w:p>
    <w:p>
      <w:pPr>
        <w:spacing w:after="100"/>
      </w:pPr>
      <w:r>
        <w:t xml:space="preserve">注意事项：排除报告页面不等于删除 Phase；替换页面来源也不应理解为修改原 Phase 的关联图纸。严重问题会阻止生成，警告须经人工确认后再决定是否继续。</w:t>
      </w:r>
    </w:p>
    <w:p>
      <w:pPr>
        <w:pStyle w:val="Heading1"/>
        <w:pageBreakBefore/>
        <w:spacing w:after="180"/>
      </w:pPr>
      <w:bookmarkStart w:name="section_22" w:id="1"/>
      <w:r>
        <w:t xml:space="preserve">12.2 生成、预览与下载 PDF</w:t>
      </w:r>
      <w:bookmarkEnd w:id="1"/>
    </w:p>
    <w:p>
      <w:pPr>
        <w:spacing w:after="100"/>
      </w:pPr>
      <w:r>
        <w:t xml:space="preserve">操作目的：输出阶段图纸报告供审核或归档。</w:t>
      </w:r>
    </w:p>
    <w:p>
      <w:pPr>
        <w:spacing w:after="100"/>
      </w:pPr>
      <w:r>
        <w:t xml:space="preserve">前置条件：阶段已保存，报告预检无阻止生成的问题。</w:t>
      </w:r>
    </w:p>
    <w:p>
      <w:pPr>
        <w:spacing w:after="100"/>
      </w:pPr>
      <w:r>
        <w:t xml:space="preserve">步骤 1：在红框 1 填写文件名，选择全部序列、当前序列或选中序列，并核对预计页数、排除页和替换页。</w:t>
      </w:r>
    </w:p>
    <w:p>
      <w:pPr>
        <w:spacing w:after="100"/>
      </w:pPr>
      <w:r>
        <w:t xml:space="preserve">步骤 2：点击红框 2“合并为一个 PDF”，或红框 3“每个序列一个 PDF（ZIP）”。生成期间查看进度，需要中止时使用“取消生成”。</w:t>
      </w:r>
    </w:p>
    <w:p>
      <w:pPr>
        <w:spacing w:after="100"/>
      </w:pPr>
      <w:r>
        <w:t xml:space="preserve">步骤 3：完成后进入“生成记录”，使用预览或下载入口取得文件。打开实际 PDF 检查页数、文本、图纸、设备状态与高亮。</w:t>
      </w:r>
    </w:p>
    <w:p>
      <w:pPr>
        <w:jc w:val="center"/>
      </w:pPr>
      <w:r>
        <w:drawing>
          <wp:inline distT="0" distB="0" distL="0" distR="0">
            <wp:extent cx="6343650" cy="3238500"/>
            <wp:effectExtent t="0" r="0" b="0" l="0"/>
            <wp:docPr id="1" name="12-pdf-settings" descr="真实界面截图，红色框线与数字标记操作位置" title="12-pdf-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t xml:space="preserve">图 20　1 文件名；2 合并 PDF；3 分序列 ZIP</w:t>
      </w:r>
    </w:p>
    <w:p>
      <w:pPr>
        <w:spacing w:after="100"/>
      </w:pPr>
      <w:r>
        <w:t xml:space="preserve">预期结果：取得单个 PDF，或按序列分别生成 PDF 的 ZIP 包。</w:t>
      </w:r>
    </w:p>
    <w:p>
      <w:pPr>
        <w:spacing w:after="100"/>
      </w:pPr>
      <w:r>
        <w:t xml:space="preserve">注意事项：本章介绍的是系统业务报告，区别于本操作手册本身的 PDF。首次交付应检查字体和高亮效果；本次未执行后台业务报告生成。</w:t>
      </w:r>
    </w:p>
    <w:p>
      <w:pPr>
        <w:pStyle w:val="Heading1"/>
        <w:pageBreakBefore/>
        <w:spacing w:after="180"/>
      </w:pPr>
      <w:bookmarkStart w:name="section_23" w:id="1"/>
      <w:r>
        <w:t xml:space="preserve">12.3 导出设备 Matrix</w:t>
      </w:r>
      <w:bookmarkEnd w:id="1"/>
    </w:p>
    <w:p>
      <w:pPr>
        <w:spacing w:after="100"/>
      </w:pPr>
      <w:r>
        <w:t xml:space="preserve">操作目的：按选定阶段输出设备状态矩阵。</w:t>
      </w:r>
    </w:p>
    <w:p>
      <w:pPr>
        <w:spacing w:after="100"/>
      </w:pPr>
      <w:r>
        <w:t xml:space="preserve">步骤 1：在报告工作区切换“导出 Matrix”。使用红框 1 的 Process 筛选及左侧树勾选 Sequence/Phase，确认选中数量。</w:t>
      </w:r>
    </w:p>
    <w:p>
      <w:pPr>
        <w:spacing w:after="100"/>
      </w:pPr>
      <w:r>
        <w:t xml:space="preserve">步骤 2：在红框 2 填写文件名，选择 XLSX 或 CSV；勾选 Valve、Pump / Motor、Sensor 等设备类型，并按需包含未激活设备和转换条件。</w:t>
      </w:r>
    </w:p>
    <w:p>
      <w:pPr>
        <w:spacing w:after="100"/>
      </w:pPr>
      <w:r>
        <w:t xml:space="preserve">步骤 3：点击红框 3“导出 Matrix”。完成后从生成记录下载，在表格软件中核对设备、阶段和状态内容。</w:t>
      </w:r>
    </w:p>
    <w:p>
      <w:pPr>
        <w:jc w:val="center"/>
      </w:pPr>
      <w:r>
        <w:drawing>
          <wp:inline distT="0" distB="0" distL="0" distR="0">
            <wp:extent cx="6305550" cy="4381500"/>
            <wp:effectExtent t="0" r="0" b="0" l="0"/>
            <wp:docPr id="1" name="13-matrix" descr="真实界面截图，红色框线与数字标记操作位置" title="13-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t xml:space="preserve">图 21　1 范围；2 文件名；3 导出</w:t>
      </w:r>
    </w:p>
    <w:p>
      <w:pPr>
        <w:spacing w:after="100"/>
      </w:pPr>
      <w:r>
        <w:t xml:space="preserve">预期结果：获得符合当前范围与格式选项的设备矩阵文件。</w:t>
      </w:r>
    </w:p>
    <w:p>
      <w:pPr>
        <w:spacing w:after="100"/>
      </w:pPr>
      <w:r>
        <w:t xml:space="preserve">注意事项：Matrix 由后台生成。所选字段与返回内容仍需业务审核，不能直接作为现场控制程序或经过验证的联锁逻辑。</w:t>
      </w:r>
    </w:p>
    <w:p>
      <w:pPr>
        <w:pStyle w:val="Heading1"/>
        <w:pageBreakBefore/>
        <w:spacing w:after="180"/>
      </w:pPr>
      <w:bookmarkStart w:name="section_24" w:id="1"/>
      <w:r>
        <w:t xml:space="preserve">13 CIP 完整操作检查清单</w:t>
      </w:r>
      <w:bookmarkEnd w:id="1"/>
    </w:p>
    <w:p>
      <w:pPr>
        <w:spacing w:after="100"/>
      </w:pPr>
      <w:r>
        <w:t xml:space="preserve">1. 准备：取得当前版本支持的 PID 文件和 Excel 模板，确认访问地址、数据权限及测试项目。</w:t>
      </w:r>
    </w:p>
    <w:p>
      <w:pPr>
        <w:spacing w:after="100"/>
      </w:pPr>
      <w:r>
        <w:t xml:space="preserve">2. 图纸：上传图纸，在列表核对资源名和状态，必要时检查解析告警。</w:t>
      </w:r>
    </w:p>
    <w:p>
      <w:pPr>
        <w:spacing w:after="100"/>
      </w:pPr>
      <w:r>
        <w:t xml:space="preserve">3. 项目：创建 Project 并关联 PID，确认当前项目上下文。</w:t>
      </w:r>
    </w:p>
    <w:p>
      <w:pPr>
        <w:spacing w:after="100"/>
      </w:pPr>
      <w:r>
        <w:t xml:space="preserve">4. 结构：建立 CIP 工艺和序列；按工艺步骤创建 Phase，填写清晰名称并避免重复编号。</w:t>
      </w:r>
    </w:p>
    <w:p>
      <w:pPr>
        <w:spacing w:after="100"/>
      </w:pPr>
      <w:r>
        <w:t xml:space="preserve">5. 阶段：关联正确 PID，按需设置 Tank。复制历史配置后检查继承来的状态，不将上一阶段状态当成新阶段结论。</w:t>
      </w:r>
    </w:p>
    <w:p>
      <w:pPr>
        <w:spacing w:after="100"/>
      </w:pPr>
      <w:r>
        <w:t xml:space="preserve">6. 标注：配置设备状态、Utility 和连通流路，使用画笔补充必要高亮；逐段复核路径及截断位置。</w:t>
      </w:r>
    </w:p>
    <w:p>
      <w:pPr>
        <w:spacing w:after="100"/>
      </w:pPr>
      <w:r>
        <w:t xml:space="preserve">7. 保存：点击保存并等待成功，逐个激活阶段核对显示结果。</w:t>
      </w:r>
    </w:p>
    <w:p>
      <w:pPr>
        <w:spacing w:after="100"/>
      </w:pPr>
      <w:r>
        <w:t xml:space="preserve">8. 报告：核对页面范围、来源和预检，导出 PDF 与 Matrix；打开输出文件进行人工复核后归档。</w:t>
      </w:r>
    </w:p>
    <w:p>
      <w:pPr>
        <w:spacing w:after="100"/>
      </w:pPr>
      <w:r>
        <w:t xml:space="preserve">审核重点：项目与图纸一致、阶段名称及顺序正确、设备状态符合工艺意图、关键路径无遗漏、报告页数与范围一致。</w:t>
      </w:r>
    </w:p>
    <w:p>
      <w:pPr>
        <w:pStyle w:val="Heading1"/>
        <w:pageBreakBefore/>
        <w:spacing w:after="180"/>
      </w:pPr>
      <w:bookmarkStart w:name="section_25" w:id="1"/>
      <w:r>
        <w:t xml:space="preserve">14 常见问题与处理建议</w:t>
      </w:r>
      <w:bookmarkEnd w:id="1"/>
    </w:p>
    <w:p>
      <w:pPr>
        <w:spacing w:after="100"/>
      </w:pPr>
      <w:r>
        <w:t xml:space="preserve">无法登录：先确认地址及环境类型；当前开发环境采用演示服务。生产账号不可用时联系管理员，不要通过修改前端页面绕过认证。</w:t>
      </w:r>
    </w:p>
    <w:p>
      <w:pPr>
        <w:spacing w:after="100"/>
      </w:pPr>
      <w:r>
        <w:t xml:space="preserve">后台 API 不可用或项目列表为空：确认服务器已启动、网络可达、部署地址正确。跨域配置、HTTPS 页面访问 HTTP 服务等问题需由管理员处理。</w:t>
      </w:r>
    </w:p>
    <w:p>
      <w:pPr>
        <w:spacing w:after="100"/>
      </w:pPr>
      <w:r>
        <w:t xml:space="preserve">图纸上传或解析失败：核对部署支持的格式与文件完整性；记录资源名、错误提示和发生时间，再按界面提供的重试入口处理。</w:t>
      </w:r>
    </w:p>
    <w:p>
      <w:pPr>
        <w:spacing w:after="100"/>
      </w:pPr>
      <w:r>
        <w:t xml:space="preserve">Phase 图纸缺失：确认关联资源仍存在且属于当前项目；使用关联/更换图纸入口重新指定，并检查原标注是否仍有效。</w:t>
      </w:r>
    </w:p>
    <w:p>
      <w:pPr>
        <w:spacing w:after="100"/>
      </w:pPr>
      <w:r>
        <w:t xml:space="preserve">设备状态改变但没有流路高亮：检查是否启用 Utility、状态是否允许自动高亮，以及设备连接和阻断规则。不要仅靠改颜色修复连接数据问题。</w:t>
      </w:r>
    </w:p>
    <w:p>
      <w:pPr>
        <w:spacing w:after="100"/>
      </w:pPr>
      <w:r>
        <w:t xml:space="preserve">高亮样式异常：检查样式引用、颜色、透明度和线宽；导入 JSON 后核对状态 key 与设备定义，必要时恢复事先保存的样式。</w:t>
      </w:r>
    </w:p>
    <w:p>
      <w:pPr>
        <w:spacing w:after="100"/>
      </w:pPr>
      <w:r>
        <w:t xml:space="preserve">保存失败：保留当前页面，记录提示并检查后台连接。确认保存成功前不要刷新、退出或清理浏览器数据。</w:t>
      </w:r>
    </w:p>
    <w:p>
      <w:pPr>
        <w:spacing w:after="100"/>
      </w:pPr>
      <w:r>
        <w:t xml:space="preserve">PDF 生成按钮不可用：检查是否存在可导出页面、是否有严重预检问题、是否已有生成任务。</w:t>
      </w:r>
    </w:p>
    <w:p>
      <w:pPr>
        <w:spacing w:after="100"/>
      </w:pPr>
      <w:r>
        <w:t xml:space="preserve">PDF 文字或高亮不正确：对比原始图纸与同一 Phase 的显示结果，记录字体、图纸名和异常页面；不要直接修改工程原图来掩盖导出问题。</w:t>
      </w:r>
    </w:p>
    <w:p>
      <w:pPr>
        <w:spacing w:after="100"/>
      </w:pPr>
      <w:r>
        <w:t xml:space="preserve">Matrix 内容不完整：复核 Process、Sequence/Phase 勾选范围、设备类型、未激活设备和转换条件选项。</w:t>
      </w:r>
    </w:p>
    <w:p>
      <w:pPr>
        <w:spacing w:after="100"/>
      </w:pPr>
      <w:r>
        <w:t xml:space="preserve">提交问题时附上：软件版本、操作步骤、项目/阶段名称、发生时间、错误截图和期望结果；截图中不要包含密码、密钥等敏感信息。</w:t>
      </w:r>
    </w:p>
    <w:p>
      <w:pPr>
        <w:pStyle w:val="Heading1"/>
        <w:pageBreakBefore/>
        <w:spacing w:after="180"/>
      </w:pPr>
      <w:bookmarkStart w:name="section_26" w:id="1"/>
      <w:r>
        <w:t xml:space="preserve">附录 A 操作速查与版本记录</w:t>
      </w:r>
      <w:bookmarkEnd w:id="1"/>
    </w:p>
    <w:p>
      <w:pPr>
        <w:spacing w:after="100"/>
      </w:pPr>
      <w:r>
        <w:t xml:space="preserve">鼠标滚轮：缩放图纸。鼠标中键拖动：平移。缩放至范围：恢复整体视野。窗口缩放：查看局部区域。</w:t>
      </w:r>
    </w:p>
    <w:p>
      <w:pPr>
        <w:spacing w:after="100"/>
      </w:pPr>
      <w:r>
        <w:t xml:space="preserve">图层管理器：检查图层显示。画笔：选择样式并标注实体。擦除：移除手动高亮。保存：保存当前阶段相关配置。</w:t>
      </w:r>
    </w:p>
    <w:p>
      <w:pPr>
        <w:spacing w:after="100"/>
      </w:pPr>
      <w:r>
        <w:t xml:space="preserve">Process＝工艺；Sequence＝序列；Phase＝阶段；Project＝项目；Tank＝罐体/容器对象；Utility＝介质或公用工程样式；Matrix＝设备状态矩阵。</w:t>
      </w:r>
    </w:p>
    <w:p>
      <w:pPr>
        <w:spacing w:after="100"/>
      </w:pPr>
      <w:r>
        <w:t xml:space="preserve">红框标注用于说明操作位置，不代表按钮当前一定可用。按钮禁用时应先检查前置条件，而不是反复点击。</w:t>
      </w:r>
    </w:p>
    <w:p>
      <w:pPr>
        <w:spacing w:after="100"/>
      </w:pPr>
      <w:r>
        <w:t xml:space="preserve">截图采集时间：2026-09-24。采集分辨率：1440 × 1000。界面语言：中文。来源：当前运行应用；未使用历史基线图代替本次操作截图。</w:t>
      </w:r>
    </w:p>
    <w:p>
      <w:pPr>
        <w:spacing w:after="100"/>
      </w:pPr>
      <w:r>
        <w:t xml:space="preserve">版本记录：V1.0，2026-09-24，首次编制，包含当前界面操作说明、20 张原始截图及其标注素材。</w:t>
      </w:r>
    </w:p>
    <w:p>
      <w:pPr>
        <w:spacing w:after="100"/>
      </w:pPr>
      <w:r>
        <w:t xml:space="preserve">发布前建议由项目负责人补充审核人、批准人及正式部署版本号，并在测试项目中验证上传、导入、保存、删除和业务报告输出。</w:t>
      </w:r>
    </w:p>
    <w:sectPr>
      <w:headerReference w:type="default" r:id="rId7"/>
      <w:footerReference w:type="default" r:id="rId8"/>
      <w:pgSz w:w="11906" w:h="16838" w:orient="portrait"/>
      <w:pgMar w:top="850" w:right="900" w:bottom="850" w:left="90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66666"/>
        <w:sz w:val="16"/>
        <w:szCs w:val="16"/>
      </w:rPr>
      <w:t xml:space="preserve">PID Viewer 功能与操作手册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sz w:val="20"/>
        <w:szCs w:val="20"/>
      </w:rPr>
    </w:rPrDefault>
    <w:pPrDefault>
      <w:pPr>
        <w:spacing w:after="100"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80" w:before="0"/>
      <w:outlineLvl w:val="0"/>
    </w:pPr>
    <w:rPr>
      <w:b/>
      <w:bCs/>
      <w:color w:val="245952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6dcda6a84efeae57ecd600968e79bf8f51e413d.png"/><Relationship Id="rId10" Type="http://schemas.openxmlformats.org/officeDocument/2006/relationships/image" Target="media/99d2b2da7857a75294eae6891a7ab1caecff7257.png"/><Relationship Id="rId11" Type="http://schemas.openxmlformats.org/officeDocument/2006/relationships/image" Target="media/ce0215d0aff9c4ad2fa4ff89ff2492b567cdfe81.png"/><Relationship Id="rId12" Type="http://schemas.openxmlformats.org/officeDocument/2006/relationships/image" Target="media/1dac0eed9f13a8818c43ce9aef597751ef59b9a5.png"/><Relationship Id="rId13" Type="http://schemas.openxmlformats.org/officeDocument/2006/relationships/image" Target="media/8f6eb1c81ec10c6b044dafa0b70d9425ceb03518.png"/><Relationship Id="rId14" Type="http://schemas.openxmlformats.org/officeDocument/2006/relationships/image" Target="media/bd2636e0e0854b314f2c2b12c78e57176efc92a2.png"/><Relationship Id="rId15" Type="http://schemas.openxmlformats.org/officeDocument/2006/relationships/image" Target="media/eec36cded60d1c06d1b3c5d578f52347225c6ded.png"/><Relationship Id="rId16" Type="http://schemas.openxmlformats.org/officeDocument/2006/relationships/image" Target="media/c158cf53e0914edfd4c5d32033509960c2c01e0c.png"/><Relationship Id="rId17" Type="http://schemas.openxmlformats.org/officeDocument/2006/relationships/image" Target="media/0ba916a461f4b02552a0bfab3dd9b9c6c41447f7.png"/><Relationship Id="rId18" Type="http://schemas.openxmlformats.org/officeDocument/2006/relationships/image" Target="media/8b65987c4fedfb6a5ec397615294c9eca7d5e1b4.png"/><Relationship Id="rId19" Type="http://schemas.openxmlformats.org/officeDocument/2006/relationships/image" Target="media/5d415268eb568e78c942ad5c7fab401dc45d4eab.png"/><Relationship Id="rId20" Type="http://schemas.openxmlformats.org/officeDocument/2006/relationships/image" Target="media/182e5ebbf8839c19d153b6788ea967f4e908462a.png"/><Relationship Id="rId21" Type="http://schemas.openxmlformats.org/officeDocument/2006/relationships/image" Target="media/20c20dc06d2588228bf40afd364f14035db36849.png"/><Relationship Id="rId22" Type="http://schemas.openxmlformats.org/officeDocument/2006/relationships/image" Target="media/1f3ca47f130ccb21b9857ea939bad1906bb568fb.png"/><Relationship Id="rId23" Type="http://schemas.openxmlformats.org/officeDocument/2006/relationships/image" Target="media/aa1b1cc93c4a6dde225b8b386cfff560f676389a.png"/><Relationship Id="rId24" Type="http://schemas.openxmlformats.org/officeDocument/2006/relationships/image" Target="media/705abdde43202dc68ccb1893786994e1b82ece59.png"/><Relationship Id="rId25" Type="http://schemas.openxmlformats.org/officeDocument/2006/relationships/image" Target="media/2fe54a43e01226805a6454837ed5e7acf6e64f49.png"/><Relationship Id="rId26" Type="http://schemas.openxmlformats.org/officeDocument/2006/relationships/image" Target="media/3b511a718755f8a663a38e6e3a257e413cb802d7.png"/><Relationship Id="rId27" Type="http://schemas.openxmlformats.org/officeDocument/2006/relationships/image" Target="media/e9cb3636b829c3ace05eb9188ab827afe0481138.png"/><Relationship Id="rId28" Type="http://schemas.openxmlformats.org/officeDocument/2006/relationships/image" Target="media/85de7d76874374450864b1ea03e2ecb645bf9681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PID Viewer 功能与操作手册</dc:title>
  <dc:subject>功能与操作手册</dc:subject>
  <dc:creator>PID Viewer Documentation</dc:creator>
  <dc:description>当前版本真实截图与红框操作标注</dc:description>
  <cp:lastModifiedBy>Un-named</cp:lastModifiedBy>
  <cp:revision>1</cp:revision>
  <dcterms:created xsi:type="dcterms:W3CDTF">2026-09-24T04:44:39.161Z</dcterms:created>
  <dcterms:modified xsi:type="dcterms:W3CDTF">2026-09-24T04:44:39.165Z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