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00"/>
        <w:jc w:val="center"/>
        <w:rPr/>
      </w:pPr>
      <w:r>
        <w:rPr>
          <w:rFonts w:eastAsia="Calibri" w:cs="Calibri" w:ascii="Calibri" w:hAnsi="Calibri"/>
          <w:b/>
          <w:bCs/>
          <w:color w:val="1B2A5E"/>
          <w:sz w:val="64"/>
          <w:szCs w:val="64"/>
        </w:rPr>
        <w:t>Olist E-Commerce Analytics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color w:val="64748B"/>
          <w:sz w:val="36"/>
          <w:szCs w:val="36"/>
        </w:rPr>
        <w:t>End-to-End Data Analytics Project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 w:ascii="Calibri" w:hAnsi="Calibri"/>
          <w:i/>
          <w:iCs/>
          <w:color w:val="2980B9"/>
          <w:sz w:val="26"/>
          <w:szCs w:val="26"/>
        </w:rPr>
        <w:t>MySQL  ·  Python  ·  Statistics  ·  Forecasting</w:t>
      </w:r>
    </w:p>
    <w:p>
      <w:pPr>
        <w:pStyle w:val="Normal"/>
        <w:pBdr>
          <w:bottom w:val="single" w:sz="6" w:space="0" w:color="D0DCF0"/>
        </w:pBdr>
        <w:spacing w:before="120" w:after="12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Calibri" w:cs="Calibri" w:ascii="Calibri" w:hAnsi="Calibri"/>
          <w:b/>
          <w:bCs/>
          <w:color w:val="1B2A5E"/>
          <w:sz w:val="28"/>
          <w:szCs w:val="28"/>
        </w:rPr>
        <w:t>Gedela Sai Shashank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64748B"/>
          <w:sz w:val="22"/>
          <w:szCs w:val="22"/>
        </w:rPr>
        <w:t>Bachelor of Mathematics (Honors)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64748B"/>
          <w:sz w:val="22"/>
          <w:szCs w:val="22"/>
        </w:rPr>
        <w:t>Indian Statistical Institute, Bangalore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2980B9"/>
          <w:sz w:val="22"/>
          <w:szCs w:val="22"/>
        </w:rPr>
        <w:t>saishashank2020@gmail.com</w:t>
      </w:r>
    </w:p>
    <w:p>
      <w:pPr>
        <w:pStyle w:val="Normal"/>
        <w:spacing w:before="0" w:after="600"/>
        <w:jc w:val="center"/>
        <w:rPr/>
      </w:pPr>
      <w:r>
        <w:rPr>
          <w:rFonts w:eastAsia="Calibri" w:cs="Calibri" w:ascii="Calibri" w:hAnsi="Calibri"/>
          <w:color w:val="64748B"/>
          <w:sz w:val="22"/>
          <w:szCs w:val="22"/>
        </w:rPr>
        <w:t>July 2026</w:t>
      </w:r>
    </w:p>
    <w:tbl>
      <w:tblPr>
        <w:tblW w:w="86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Dataset</w:t>
            </w:r>
          </w:p>
        </w:tc>
        <w:tc>
          <w:tcPr>
            <w:tcW w:w="4320" w:type="dxa"/>
            <w:tcBorders>
              <w:start w:val="single" w:sz="4" w:space="0" w:color="000000"/>
              <w:bottom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2"/>
                <w:szCs w:val="22"/>
              </w:rPr>
              <w:t>100,000+ real orders from Olist Brazilian E-Commerce platform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Tables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FFFFFF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2"/>
                <w:szCs w:val="22"/>
              </w:rPr>
              <w:t>9 relational tables queried via MySQL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Period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2"/>
                <w:szCs w:val="22"/>
              </w:rPr>
              <w:t>September 2016 — August 2018 (23 months)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</w:tcBorders>
            <w:shd w:color="FFFFFF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2"/>
                <w:szCs w:val="22"/>
              </w:rPr>
              <w:t>Kaggle — Olist Brazilian E-Commerce Public Dataset (Real Industry Data)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Calibri" w:hAnsi="Calibri" w:eastAsia="Calibri" w:cs="Calibri"/>
          <w:b/>
          <w:bCs/>
          <w:color w:val="1B2A5E"/>
          <w:sz w:val="36"/>
          <w:szCs w:val="36"/>
        </w:rPr>
      </w:pPr>
      <w:r>
        <w:rPr/>
        <w:t>1. Introduction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Olist is a Brazilian e-commerce marketplace connecting small sellers to major retail platforms. This project performs a comprehensive end-to-end analytics workflow on 100,000+ real orders — from relational database design and querying in MySQL, through statistical analysis and regression modeling in Python, to time series revenue forecasting using Prophet and ARIMA.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The project was built independently to demonstrate real-world data analyst skills, combining database engineering, applied statistics, and business insight generation on a publicly available, real-company dataset.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1.1 Objectives</w:t>
      </w:r>
    </w:p>
    <w:p>
      <w:pPr>
        <w:pStyle w:val="ListParagraph"/>
        <w:numPr>
          <w:ilvl w:val="0"/>
          <w:numId w:val="3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Design and populate a relational MySQL database with 9 interconnected tables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Answer key business questions using complex SQL queries (JOINs, CTEs, Window Functions)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Build a MySQL-to-Python pipeline using SQLAlchemy for statistical analysis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Apply regression analysis to quantify delivery time impact on customer satisfaction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Forecast monthly revenue using Prophet and ARIMA time series models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Compare model performance using proper train/test split evaluation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1.2 Tools &amp; Technologies</w:t>
      </w:r>
    </w:p>
    <w:tbl>
      <w:tblPr>
        <w:tblW w:w="86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E0E8F5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32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Relational database — 9-table schema, complex queries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SQLAlchemy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MySQL → Python pipeline for analysis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pandas / NumPy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Data manipulation and statistical computation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statsmodels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OLS regression, ARIMA, ADF test, ACF/PACF analysis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scipy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Pearson and Spearman correlation coefficients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Prophet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Time series forecasting with trend and seasonality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pmdarima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Auto ARIMA with AIC-based model selection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E0E8F5"/>
              <w:bottom w:val="single" w:sz="4" w:space="0" w:color="E0E8F5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matplotlib / seaborn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E0E8F5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Statistical charts and visualization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Calibri" w:hAnsi="Calibri" w:eastAsia="Calibri" w:cs="Calibri"/>
          <w:b/>
          <w:bCs/>
          <w:color w:val="1B2A5E"/>
          <w:sz w:val="36"/>
          <w:szCs w:val="36"/>
        </w:rPr>
      </w:pPr>
      <w:r>
        <w:rPr/>
        <w:t>2. Database Design &amp; Setup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The Olist dataset consists of 9 relational CSV files, each representing a distinct entity in the e-commerce transaction lifecycle. All tables were loaded into a MySQL database named olist_db with appropriate primary keys, foreign key relationships, and data types.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2.1 Schema Overview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olist_orders — Central table linking customers to orders (order_id PK)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olist_order_items — Line items per order with price and freight (composite PK)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olist_customers — Customer demographics with customer_unique_id for repeat tracking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olist_products — Product catalog with category names in Portuguese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olist_order_payments — Payment details including method and installments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olist_order_reviews — Customer review scores and comments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olist_sellers — Seller location information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olist_geolocation — ZIP code to latitude/longitude mapping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product_category_name_translation — Portuguese to English category mapping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2.2 Data Quality Notes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Column typos in original CSV corrected: product_name_lenght → product_name_length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customer_id is transaction-specific — customer_unique_id used for true repeat purchase analysis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1,175 orders have no matching rows in order_items (likely cancelled/empty orders)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September 2016 (starts 4th) and September 2018 (ends 3rd) identified as incomplete months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Cancelled orders excluded from all revenue calculations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Sellers with fewer than 20 orders excluded from late delivery rate analysis (right-skewed distribution)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Calibri" w:hAnsi="Calibri" w:eastAsia="Calibri" w:cs="Calibri"/>
          <w:b/>
          <w:bCs/>
          <w:color w:val="1B2A5E"/>
          <w:sz w:val="36"/>
          <w:szCs w:val="36"/>
        </w:rPr>
      </w:pPr>
      <w:r>
        <w:rPr/>
        <w:t>3. Business Questions Analysis (MySQL)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Six core business questions were answered using complex SQL queries. Each query was built iteratively, with data quality checks and statistical reasoning applied throughout.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3.1 Top 10 Product Categories by Revenue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Revenue was defined as SUM(price) per category — excluding freight_value (shipping cost) and payment_value (which includes taxes and installment fees). This ensures we measure product sales revenue rather than total transaction value.</w:t>
      </w:r>
    </w:p>
    <w:p>
      <w:pPr>
        <w:pStyle w:val="Normal"/>
        <w:spacing w:before="120" w:after="0"/>
        <w:rPr/>
      </w:pPr>
      <w:r>
        <w:rPr/>
      </w:r>
    </w:p>
    <w:tbl>
      <w:tblPr>
        <w:tblW w:w="86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E0E8F5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8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88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Revenue (BRL)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Health &amp; Beauty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1,</w:t>
            </w: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258,681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Watches &amp; Gifts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1,2</w:t>
            </w: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05,006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Bed, Bath &amp; Table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1,0</w:t>
            </w: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36,989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Sports &amp; Leisure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988,049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Computers &amp; Accessories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911,954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Furniture &amp; Decor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7</w:t>
            </w: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29,762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Cool Stuff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6</w:t>
            </w: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35,291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Housewares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6</w:t>
            </w: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32,249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592,720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E0E8F5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Garden Tools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E0E8F5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485,256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Key insight: Health &amp; Beauty leads with BRL 1.</w:t>
      </w: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2</w:t>
      </w: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6</w:t>
      </w: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M, over 2.5× the 10th-ranked category. The top 3 categories account for approximately 37% of total platform revenue.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3.2 Average Delivery Time by Customer State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Average delivery time was calculated as DATEDIFF(order_delivered_customer_date, order_purchase_timestamp), filtered to delivered orders only. Key findings: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Fastest delivery: São Paulo (SP) — 8.7 days average (proximity to major seller hubs)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Slowest delivery: Roraima (RR) — 29.3 days average (remote northern state)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National average: approximately 12–15 days for southeastern states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This significant regional disparity (8.7 vs 29.3 days) directly impacts customer satisfaction scores, as confirmed in the regression analysis (Section 4).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3.3 Sellers with Highest Late Delivery Rate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Late delivery rate was defined as the percentage of orders delivered after the estimated delivery date. Two methodological decisions were made: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Sellers with fewer than 20 orders excluded — seller order count distribution is highly right-skewed (confirmed via histogram), making rates from low-volume sellers statistically unreliable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Rate calculated as: COUNT(late orders) / COUNT(all orders) × 100 — ensuring on-time orders are included in the denominator</w:t>
      </w:r>
    </w:p>
    <w:p>
      <w:pPr>
        <w:pStyle w:val="Normal"/>
        <w:spacing w:before="120" w:after="0"/>
        <w:rPr/>
      </w:pPr>
      <w:r>
        <w:rPr/>
      </w:r>
    </w:p>
    <w:tbl>
      <w:tblPr>
        <w:tblW w:w="86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E0E8F5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Late Delivery Rate</w:t>
            </w:r>
          </w:p>
        </w:tc>
        <w:tc>
          <w:tcPr>
            <w:tcW w:w="288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Order Count</w:t>
            </w:r>
          </w:p>
        </w:tc>
        <w:tc>
          <w:tcPr>
            <w:tcW w:w="288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C0392B"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48.94%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47 orders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Nearly 1 in 2 deliveries late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E67E22" w:fill="E67E2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37.50%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24 orders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Over 1 in 3 deliveries late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E0E8F5"/>
              <w:end w:val="single" w:sz="4" w:space="0" w:color="000000"/>
            </w:tcBorders>
            <w:shd w:color="E67E22" w:fill="E67E22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33.33%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21 orders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Borderline threshold (n=21)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3.4 Customer Repeat Purchase Rate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A critical data quality discovery was made: olist_customers contains two ID columns — customer_id (unique per transaction) and customer_unique_id (unique per actual person). Using customer_id would incorrectly show 0% repeat purchases. The correct column is customer_unique_id.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Additionally, a join bug was identified and corrected: using order_items to count orders caused undercounting due to 1,175 orders with missing item records. Switching to count DISTINCT order_id directly from the orders table corrected the rate from 3.03% → 3.11%.</w:t>
      </w:r>
    </w:p>
    <w:p>
      <w:pPr>
        <w:pStyle w:val="Normal"/>
        <w:spacing w:before="120" w:after="0"/>
        <w:rPr/>
      </w:pPr>
      <w:r>
        <w:rPr/>
      </w:r>
    </w:p>
    <w:tbl>
      <w:tblPr>
        <w:tblW w:w="86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E0E8F5"/>
              <w:start w:val="single" w:sz="4" w:space="0" w:color="E0E8F5"/>
              <w:bottom w:val="single" w:sz="4" w:space="0" w:color="E0E8F5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Customer Repeat Purchase Rate</w:t>
            </w:r>
          </w:p>
        </w:tc>
        <w:tc>
          <w:tcPr>
            <w:tcW w:w="4320" w:type="dxa"/>
            <w:tcBorders>
              <w:top w:val="single" w:sz="4" w:space="0" w:color="E0E8F5"/>
              <w:start w:val="single" w:sz="4" w:space="0" w:color="000000"/>
              <w:bottom w:val="single" w:sz="4" w:space="0" w:color="E0E8F5"/>
              <w:end w:val="single" w:sz="4" w:space="0" w:color="E0E8F5"/>
            </w:tcBorders>
            <w:shd w:color="C0392B"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8"/>
                <w:szCs w:val="28"/>
              </w:rPr>
              <w:t>3.11%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Only 3.11% of customers placed more than one order — indicating extremely low customer retention. This represents a major business opportunity for loyalty programs and post-purchase engagement campaigns.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3.5 Monthly Revenue Trend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Revenue was grouped by order_purchase_timestamp (month start), assuming payment occurs at the time of ordering — consistent with standard online checkout flow. Cancelled orders were excluded. The trend shows strong upward growth from BRL ~50K (September 2016) to approximately BRL 1M+ (mid-2018), representing roughly 20× growth over 23 months.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Calibri" w:hAnsi="Calibri" w:eastAsia="Calibri" w:cs="Calibri"/>
          <w:b/>
          <w:bCs/>
          <w:color w:val="1B2A5E"/>
          <w:sz w:val="36"/>
          <w:szCs w:val="36"/>
        </w:rPr>
      </w:pPr>
      <w:r>
        <w:rPr/>
        <w:t>4. Regression Analysis — Delivery Time vs Review Score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The central analytical question for Phase 3: does delivery time predict customer review scores? A total of 96,353 delivered orders with valid delivery dates and review scores were used for this analysis.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4.1 Correlation Analysis</w:t>
      </w:r>
    </w:p>
    <w:tbl>
      <w:tblPr>
        <w:tblW w:w="86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4" w:space="0" w:color="E0E8F5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16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Correlation Coefficient</w:t>
            </w:r>
          </w:p>
        </w:tc>
        <w:tc>
          <w:tcPr>
            <w:tcW w:w="216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216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Strength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Pearson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0"/>
                <w:szCs w:val="20"/>
              </w:rPr>
              <w:t>-0.334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&lt; 0.001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Moderate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E0E8F5"/>
              <w:bottom w:val="single" w:sz="4" w:space="0" w:color="E0E8F5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Spearman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0"/>
                <w:szCs w:val="20"/>
              </w:rPr>
              <w:t>-0.235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&lt; 0.001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E0E8F5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Weak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The difference between Pearson (-0.334) and Spearman (-0.235) is statistically meaningful. Pearson assumes a linear relationship while Spearman only assumes monotonic. The divergence suggests a non-linear relationship — consistent with a threshold effect where satisfaction deteriorates steeply up to ~30 delivery days, then plateaus.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Note: With n=96,353 observations, even small correlations become statistically significant. The p-value here reflects sample size, not effect size — the correlation magnitude itself must be interpreted cautiously.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4.2 Simple Linear Regression Results</w:t>
      </w:r>
    </w:p>
    <w:tbl>
      <w:tblPr>
        <w:tblW w:w="86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E0E8F5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88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β₀ (Intercept)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4.32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Predicted score for 0-day delivery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β₁ (delivery_days)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0"/>
                <w:szCs w:val="20"/>
              </w:rPr>
              <w:t>-0.045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Each extra day reduces score by 0.045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R²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0.111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11.1% of satisfaction variance explained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p-value (β₁)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&lt; 0.001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Statistically significant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E0E8F5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F-statistic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Significant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Overall model is significant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4.3 Model Diagnostics (Montgomery Approach)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Following the Montgomery (2012) residual analysis framework, three diagnostic checks were performed: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Residuals vs Fitted — Diagonal stripe pattern observed due to discrete review scores (1-5). This is a known limitation of applying linear regression to ordinal response variables, not a model fitting error.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Distribution of Residuals — Slightly right-skewed with sharp peak near 0. Not perfectly normal, but acceptable given the large sample size (Central Limit Theorem provides robustness).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Scatter Plot — Regression line predicts negative review scores beyond ~100 delivery days (impossible values), confirming the linear model is not appropriate for extreme delivery durations.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Log transformation of delivery_days was tested (Montgomery Chapter 5 approach) but worsened R² from 0.111 to 0.079, confirming the core issue is the discrete ordinal response variable structure, not non-linearity in the predictor.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4.4 Key Finding &amp; Recommendation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Despite statistical significance, delivery time explains only 11.1% of customer satisfaction variance. This is the most important finding from the regression analysis: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88.9% of what drives review scores comes from other factors — product quality, seller communication, packaging, price accuracy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A 10-day reduction in delivery time would improve average review score by only 0.45 points (β₁ × 10 = 0.45)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Businesses should not over-invest in delivery speed optimization at the expense of product quality improvements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Recommended model for future work: Ordinal Logistic Regression, which is theoretically appropriate for ordered categorical response variables (review scores 1-5).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Calibri" w:hAnsi="Calibri" w:eastAsia="Calibri" w:cs="Calibri"/>
          <w:b/>
          <w:bCs/>
          <w:color w:val="1B2A5E"/>
          <w:sz w:val="36"/>
          <w:szCs w:val="36"/>
        </w:rPr>
      </w:pPr>
      <w:r>
        <w:rPr/>
        <w:t>5. Revenue Forecasting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Monthly revenue was forecasted using two time series approaches — Facebook Prophet and ARIMA — evaluated using a proper train/test split to ensure honest performance measurement.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5.1 Data Preparation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Revenue aggregated monthly as SUM(price) grouped by order_purchase_timestamp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September 2018 excluded: only 3 days of data (1st-3rd), representing only 10% of a full month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September 2016 retained: 90% complete (data from 4th onwards), sufficient for analysis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Final dataset: 23 months (October 2016 — August 2018)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Train set: 20 months (October 2016 — May 2018)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Test set: 3 months (June — August 2018) — held out completely from training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Stationarity check: Augmented Dickey-Fuller test returned p-value = 0.695 (&gt; 0.05), confirming non-stationarity. First-order differencing (d=1) required for ARIMA.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5.2 Prophet Model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Two Prophet configurations were tested: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Additive seasonality — more stable with limited data, prevents impossible negative predictions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Multiplicative seasonality — theoretically appropriate for growing revenue but produced negative forecasts due to insufficient seasonal cycles (less than 2 full years of data)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Both Prophet configurations over-predicted the test period as Olist's rapid growth phase plateaued around BRL 860-880K in June-August 2018 — a structural change undetectable from historical trend alone.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5.3 ARIMA Model</w:t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Auto ARIMA (pmdarima) with AIC as the selection criterion automatically identified ARIMA(1,1,0) as the optimal configuration: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p=1 (AR): One past value directly influences current month's revenue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d=1 (Differencing): First-order differencing to achieve stationarity (confirmed by ADF test)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q=0 (MA): No moving average component needed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The AR coefficient β = -0.686 (p=0.001) indicates mean-reverting behavior — revenue above trend in one month tends to partially correct downward the next. This is economically sensible for a marketplace in its growth phase.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5.4 Model Comparison</w:t>
      </w:r>
    </w:p>
    <w:tbl>
      <w:tblPr>
        <w:tblW w:w="86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4" w:space="0" w:color="E0E8F5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16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Training WAPE</w:t>
            </w:r>
          </w:p>
        </w:tc>
        <w:tc>
          <w:tcPr>
            <w:tcW w:w="216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Test WAPE</w:t>
            </w:r>
          </w:p>
        </w:tc>
        <w:tc>
          <w:tcPr>
            <w:tcW w:w="216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Prophet (with seasonality)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7.8%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C0392B"/>
                <w:sz w:val="20"/>
                <w:szCs w:val="20"/>
              </w:rPr>
              <w:t>39.7%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Overfit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Prophet (no seasonality)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E67E22"/>
                <w:sz w:val="20"/>
                <w:szCs w:val="20"/>
              </w:rPr>
              <w:t>37.8%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Better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E0E8F5"/>
              <w:bottom w:val="single" w:sz="4" w:space="0" w:color="E0E8F5"/>
              <w:end w:val="single" w:sz="4" w:space="0" w:color="000000"/>
            </w:tcBorders>
            <w:shd w:color="27AE60" w:fill="27AE60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ARIMA(1,1,0) — Auto AIC ✓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000000"/>
            </w:tcBorders>
            <w:shd w:color="27AE60" w:fill="27AE60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FFFFFF"/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000000"/>
            </w:tcBorders>
            <w:shd w:color="27AE60" w:fill="27AE60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30.4%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E0E8F5"/>
            </w:tcBorders>
            <w:shd w:color="27AE60" w:fill="27AE60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Winner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19" w:before="60" w:after="60"/>
        <w:rPr/>
      </w:pPr>
      <w:r>
        <w:rPr>
          <w:rFonts w:eastAsia="Calibri" w:cs="Calibri" w:ascii="Calibri" w:hAnsi="Calibri"/>
          <w:b w:val="false"/>
          <w:bCs w:val="false"/>
          <w:i/>
          <w:iCs/>
          <w:color w:val="1A1A1A"/>
          <w:sz w:val="22"/>
          <w:szCs w:val="22"/>
        </w:rPr>
        <w:t>ARIMA outperformed Prophet primarily because the simpler model (2 parameters vs Prophet's complex seasonal decomposition) avoided overfitting with only 23 months of training data. Prophet requires at least 2 full seasonal cycles for reliable yearly seasonality estimation.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Calibri" w:hAnsi="Calibri" w:eastAsia="Calibri" w:cs="Calibri"/>
          <w:b/>
          <w:bCs/>
          <w:color w:val="1B2A5E"/>
          <w:sz w:val="36"/>
          <w:szCs w:val="36"/>
        </w:rPr>
      </w:pPr>
      <w:r>
        <w:rPr/>
        <w:t>6. Conclusions &amp; Recommendations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6.1 Key Findings Summary</w:t>
      </w:r>
    </w:p>
    <w:tbl>
      <w:tblPr>
        <w:tblW w:w="86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E0E8F5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880" w:type="dxa"/>
            <w:tcBorders>
              <w:top w:val="single" w:sz="4" w:space="0" w:color="E0E8F5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1B2A5E" w:fill="1B2A5E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Health &amp; Beauty is top revenue category (BRL 1.3M)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Prioritize inventory and seller recruitment in this category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Only 3.11% repeat purchase rate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Major retention gap — loyalty programs urgently needed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Delivery time explains only 11.1% of review score variance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Focus on product quality, not just speed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SP delivers in 8.7 days vs RR in 29.3 days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E0E8F5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Regional logistics investment needed in northern states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E0E8F5"/>
              <w:bottom w:val="single" w:sz="4" w:space="0" w:color="E0E8F5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000000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ARIMA(1,1,0) achieves 30.4% test WAPE vs Prophet's 39.7%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E0E8F5"/>
              <w:end w:val="single" w:sz="4" w:space="0" w:color="E0E8F5"/>
            </w:tcBorders>
            <w:shd w:color="F4F7FB" w:fill="F4F7FB" w:val="clea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1A1A"/>
                <w:sz w:val="20"/>
                <w:szCs w:val="20"/>
              </w:rPr>
              <w:t>Simpler models outperform with limited data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6.2 Recommendations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/>
          <w:bCs/>
          <w:color w:val="1A1A1A"/>
          <w:sz w:val="22"/>
          <w:szCs w:val="22"/>
        </w:rPr>
        <w:t>Loyalty Program Implementation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64748B"/>
          <w:sz w:val="20"/>
          <w:szCs w:val="20"/>
        </w:rPr>
        <w:t>3.11% repeat purchase rate is critically low. Post-purchase email campaigns, cashback, and personalized product recommendations could significantly improve retention.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/>
          <w:bCs/>
          <w:color w:val="1A1A1A"/>
          <w:sz w:val="22"/>
          <w:szCs w:val="22"/>
        </w:rPr>
        <w:t>Multi-Factor Satisfaction Strategy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64748B"/>
          <w:sz w:val="20"/>
          <w:szCs w:val="20"/>
        </w:rPr>
        <w:t>Delivery time explains only 11.1% of review variance. Equal or greater investment should go into product quality oversight, accurate product descriptions, and seller communication standards.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/>
          <w:bCs/>
          <w:color w:val="1A1A1A"/>
          <w:sz w:val="22"/>
          <w:szCs w:val="22"/>
        </w:rPr>
        <w:t>Seller Quality Control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64748B"/>
          <w:sz w:val="20"/>
          <w:szCs w:val="20"/>
        </w:rPr>
        <w:t>Flag and review sellers with &gt;30% late delivery rate. Implement seller performance scorecards with automatic warnings at 25% and suspension reviews at 40%.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/>
          <w:bCs/>
          <w:color w:val="1A1A1A"/>
          <w:sz w:val="22"/>
          <w:szCs w:val="22"/>
        </w:rPr>
        <w:t>Regional Logistics Investment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64748B"/>
          <w:sz w:val="20"/>
          <w:szCs w:val="20"/>
        </w:rPr>
        <w:t>Northern states (RR, AP, AM) show 26-29 day delivery times. Partner with regional carriers or establish distribution centers in high-demand remote areas.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/>
          <w:bCs/>
          <w:color w:val="1A1A1A"/>
          <w:sz w:val="22"/>
          <w:szCs w:val="22"/>
        </w:rPr>
        <w:t>Forecasting Data Collection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64748B"/>
          <w:sz w:val="20"/>
          <w:szCs w:val="20"/>
        </w:rPr>
        <w:t>3+ years of monthly data is needed for reliable seasonal revenue forecasting with Prophet. Current 23-month dataset is insufficient for stable yearly seasonality estimation.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/>
          <w:bCs/>
          <w:color w:val="1A1A1A"/>
          <w:sz w:val="22"/>
          <w:szCs w:val="22"/>
        </w:rPr>
        <w:t>Investigate 2018 Growth Plateau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Calibri" w:cs="Calibri" w:ascii="Calibri" w:hAnsi="Calibri"/>
          <w:color w:val="64748B"/>
          <w:sz w:val="20"/>
          <w:szCs w:val="20"/>
        </w:rPr>
        <w:t>Revenue plateaued around BRL 860-880K in mid-2018. This may signal market saturation, increased competition, or a seasonal effect. Further investigation with competitive data recommended.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40" w:after="80"/>
        <w:rPr>
          <w:rFonts w:ascii="Calibri" w:hAnsi="Calibri" w:eastAsia="Calibri" w:cs="Calibri"/>
          <w:b/>
          <w:bCs/>
          <w:color w:val="1B2A5E"/>
          <w:sz w:val="26"/>
          <w:szCs w:val="26"/>
        </w:rPr>
      </w:pPr>
      <w:r>
        <w:rPr/>
        <w:t>6.3 Limitations &amp; Future Work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Ordinal Logistic Regression should replace Linear Regression for review score modeling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Multiple regression with product quality, seller rating, and price as additional predictors would improve R² significantly beyond 0.111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Customer segmentation analysis (RFM — Recency, Frequency, Monetary) would provide deeper retention insights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Geolocation data was not utilized — spatial analysis of delivery performance could reveal granular logistics patterns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Prophet with Brazilian holiday calendar integration may improve seasonal forecasting with more data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Calibri" w:hAnsi="Calibri" w:eastAsia="Calibri" w:cs="Calibri"/>
          <w:b/>
          <w:bCs/>
          <w:color w:val="1B2A5E"/>
          <w:sz w:val="36"/>
          <w:szCs w:val="36"/>
        </w:rPr>
      </w:pPr>
      <w:r>
        <w:rPr/>
        <w:t>7. Assumptions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Revenue = SUM(price) — excludes freight_value (shipping cost charged to customer, not product revenue)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Cancelled orders excluded from all revenue and delivery time calculations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Repeat purchase defined as customer_unique_id placing 2+ distinct orders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Late delivery = order_delivered_customer_date &gt; order_estimated_delivery_date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Sellers with &lt;20 orders excluded from late delivery rate analysis (statistically unreliable rates)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Payment occurs at time of ordering (standard online checkout assumption for revenue dating)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September 2018 excluded from forecasting (only 3 days of data — 10% of full month)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Minimum sample size of n≥20 applied for proportion/rate reliability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ARIMA stationarity achieved via first-order differencing as confirmed by ADF test (p=0.695)</w:t>
      </w:r>
    </w:p>
    <w:p>
      <w:pPr>
        <w:pStyle w:val="Normal"/>
        <w:spacing w:before="240" w:after="0"/>
        <w:rPr/>
      </w:pPr>
      <w:r>
        <w:rPr/>
      </w:r>
    </w:p>
    <w:p>
      <w:pPr>
        <w:pStyle w:val="Heading1"/>
        <w:spacing w:before="320" w:after="120"/>
        <w:rPr>
          <w:rFonts w:ascii="Calibri" w:hAnsi="Calibri" w:eastAsia="Calibri" w:cs="Calibri"/>
          <w:b/>
          <w:bCs/>
          <w:color w:val="1B2A5E"/>
          <w:sz w:val="36"/>
          <w:szCs w:val="36"/>
        </w:rPr>
      </w:pPr>
      <w:r>
        <w:rPr/>
        <w:t>8. References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Olist Brazilian E-Commerce Public Dataset — Kaggle (https://www.kaggle.com/datasets/olistbr/brazilian-ecommerce)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Montgomery, D.C., Peck, E.A., Vining, G.G. (2012). Introduction to Linear Regression Analysis (5th ed.). Wiley.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Hyndman, R.J., Athanasopoulos, G. (2021). Forecasting: Principles and Practice (3rd ed.). OTexts. (https://otexts.com/fpp3)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Taylor, S.J., Letham, B. (2018). Forecasting at Scale. The American Statistician, 72(1), 37-45. (Prophet)</w:t>
      </w:r>
    </w:p>
    <w:p>
      <w:pPr>
        <w:pStyle w:val="ListParagraph"/>
        <w:numPr>
          <w:ilvl w:val="0"/>
          <w:numId w:val="1"/>
        </w:numPr>
        <w:spacing w:lineRule="auto" w:line="300" w:before="40" w:after="40"/>
        <w:rPr/>
      </w:pPr>
      <w:r>
        <w:rPr>
          <w:rFonts w:eastAsia="Calibri" w:cs="Calibri" w:ascii="Calibri" w:hAnsi="Calibri"/>
          <w:b w:val="false"/>
          <w:bCs w:val="false"/>
          <w:color w:val="1A1A1A"/>
          <w:sz w:val="22"/>
          <w:szCs w:val="22"/>
        </w:rPr>
        <w:t>Box, G.E.P., Jenkins, G.M. (1970). Time Series Analysis: Forecasting and Control. Holden-Day.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bottom w:val="single" w:sz="6" w:space="0" w:color="D0DCF0"/>
        </w:pBdr>
        <w:spacing w:before="120" w:after="120"/>
        <w:rPr/>
      </w:pPr>
      <w:r>
        <w:rPr/>
      </w:r>
    </w:p>
    <w:p>
      <w:pPr>
        <w:pStyle w:val="Normal"/>
        <w:spacing w:before="120" w:after="0"/>
        <w:jc w:val="center"/>
        <w:rPr/>
      </w:pPr>
      <w:r>
        <w:rPr>
          <w:rFonts w:eastAsia="Calibri" w:cs="Calibri" w:ascii="Calibri" w:hAnsi="Calibri"/>
          <w:i/>
          <w:iCs/>
          <w:color w:val="64748B"/>
          <w:sz w:val="18"/>
          <w:szCs w:val="18"/>
        </w:rPr>
        <w:t>Gedela Sai Shashank  ·  ISI Bangalore  ·  saishashank2020@gmail.com  ·  July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64748B"/>
        <w:sz w:val="16"/>
        <w:szCs w:val="16"/>
      </w:rPr>
      <w:t xml:space="preserve">Page </w:t>
    </w:r>
    <w:r>
      <w:rPr>
        <w:rFonts w:eastAsia="Calibri" w:cs="Calibri" w:ascii="Calibri" w:hAnsi="Calibri"/>
        <w:i/>
        <w:iCs/>
        <w:color w:val="64748B"/>
        <w:sz w:val="18"/>
        <w:szCs w:val="18"/>
      </w:rPr>
      <w:fldChar w:fldCharType="begin"/>
    </w:r>
    <w:r>
      <w:rPr>
        <w:rFonts w:eastAsia="Calibri" w:cs="Calibri" w:ascii="Calibri" w:hAnsi="Calibri"/>
        <w:i/>
        <w:iCs/>
        <w:color w:val="64748B"/>
        <w:sz w:val="18"/>
        <w:szCs w:val="18"/>
      </w:rPr>
      <w:instrText xml:space="preserve"> PAGE </w:instrText>
    </w:r>
    <w:r>
      <w:rPr>
        <w:rFonts w:eastAsia="Calibri" w:cs="Calibri" w:ascii="Calibri" w:hAnsi="Calibri"/>
        <w:i/>
        <w:iCs/>
        <w:color w:val="64748B"/>
        <w:sz w:val="18"/>
        <w:szCs w:val="18"/>
      </w:rPr>
      <w:fldChar w:fldCharType="separate"/>
    </w:r>
    <w:r>
      <w:rPr>
        <w:rFonts w:eastAsia="Calibri" w:cs="Calibri" w:ascii="Calibri" w:hAnsi="Calibri"/>
        <w:i/>
        <w:iCs/>
        <w:color w:val="64748B"/>
        <w:sz w:val="18"/>
        <w:szCs w:val="18"/>
      </w:rPr>
      <w:t>12</w:t>
    </w:r>
    <w:r>
      <w:rPr>
        <w:rFonts w:eastAsia="Calibri" w:cs="Calibri" w:ascii="Calibri" w:hAnsi="Calibri"/>
        <w:i/>
        <w:iCs/>
        <w:color w:val="64748B"/>
        <w:sz w:val="18"/>
        <w:szCs w:val="18"/>
      </w:rPr>
      <w:fldChar w:fldCharType="end"/>
    </w:r>
    <w:r>
      <w:rPr>
        <w:rFonts w:eastAsia="Calibri" w:cs="Calibri" w:ascii="Calibri" w:hAnsi="Calibri"/>
        <w:color w:val="64748B"/>
        <w:sz w:val="16"/>
        <w:szCs w:val="16"/>
      </w:rPr>
      <w:t xml:space="preserve"> | Gedela Sai Shashank | ISI Bangalore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64748B"/>
        <w:sz w:val="16"/>
        <w:szCs w:val="16"/>
      </w:rPr>
      <w:t xml:space="preserve">Page </w:t>
    </w:r>
    <w:r>
      <w:rPr>
        <w:rFonts w:eastAsia="Calibri" w:cs="Calibri" w:ascii="Calibri" w:hAnsi="Calibri"/>
        <w:i/>
        <w:iCs/>
        <w:color w:val="64748B"/>
        <w:sz w:val="18"/>
        <w:szCs w:val="18"/>
      </w:rPr>
      <w:fldChar w:fldCharType="begin"/>
    </w:r>
    <w:r>
      <w:rPr>
        <w:rFonts w:eastAsia="Calibri" w:cs="Calibri" w:ascii="Calibri" w:hAnsi="Calibri"/>
        <w:i/>
        <w:iCs/>
        <w:color w:val="64748B"/>
        <w:sz w:val="18"/>
        <w:szCs w:val="18"/>
      </w:rPr>
      <w:instrText xml:space="preserve"> PAGE </w:instrText>
    </w:r>
    <w:r>
      <w:rPr>
        <w:rFonts w:eastAsia="Calibri" w:cs="Calibri" w:ascii="Calibri" w:hAnsi="Calibri"/>
        <w:i/>
        <w:iCs/>
        <w:color w:val="64748B"/>
        <w:sz w:val="18"/>
        <w:szCs w:val="18"/>
      </w:rPr>
      <w:fldChar w:fldCharType="separate"/>
    </w:r>
    <w:r>
      <w:rPr>
        <w:rFonts w:eastAsia="Calibri" w:cs="Calibri" w:ascii="Calibri" w:hAnsi="Calibri"/>
        <w:i/>
        <w:iCs/>
        <w:color w:val="64748B"/>
        <w:sz w:val="18"/>
        <w:szCs w:val="18"/>
      </w:rPr>
      <w:t>12</w:t>
    </w:r>
    <w:r>
      <w:rPr>
        <w:rFonts w:eastAsia="Calibri" w:cs="Calibri" w:ascii="Calibri" w:hAnsi="Calibri"/>
        <w:i/>
        <w:iCs/>
        <w:color w:val="64748B"/>
        <w:sz w:val="18"/>
        <w:szCs w:val="18"/>
      </w:rPr>
      <w:fldChar w:fldCharType="end"/>
    </w:r>
    <w:r>
      <w:rPr>
        <w:rFonts w:eastAsia="Calibri" w:cs="Calibri" w:ascii="Calibri" w:hAnsi="Calibri"/>
        <w:color w:val="64748B"/>
        <w:sz w:val="16"/>
        <w:szCs w:val="16"/>
      </w:rPr>
      <w:t xml:space="preserve"> | Gedela Sai Shashank | ISI Bangalore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end"/>
      <w:rPr/>
    </w:pPr>
    <w:r>
      <w:rPr>
        <w:rFonts w:eastAsia="Calibri" w:cs="Calibri" w:ascii="Calibri" w:hAnsi="Calibri"/>
        <w:i/>
        <w:iCs/>
        <w:color w:val="64748B"/>
        <w:sz w:val="16"/>
        <w:szCs w:val="16"/>
      </w:rPr>
      <w:t>Olist E-Commerce Analytics — Project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end"/>
      <w:rPr/>
    </w:pPr>
    <w:r>
      <w:rPr>
        <w:rFonts w:eastAsia="Calibri" w:cs="Calibri" w:ascii="Calibri" w:hAnsi="Calibri"/>
        <w:i/>
        <w:iCs/>
        <w:color w:val="64748B"/>
        <w:sz w:val="16"/>
        <w:szCs w:val="16"/>
      </w:rPr>
      <w:t>Olist E-Commerce Analytics — Project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3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>
      <w:spacing w:before="320" w:after="120"/>
    </w:pPr>
    <w:rPr>
      <w:rFonts w:ascii="Calibri" w:hAnsi="Calibri" w:eastAsia="Calibri" w:cs="Calibri"/>
      <w:b/>
      <w:bCs/>
      <w:color w:val="1B2A5E"/>
      <w:sz w:val="36"/>
      <w:szCs w:val="36"/>
    </w:rPr>
  </w:style>
  <w:style w:type="paragraph" w:styleId="Heading2">
    <w:name w:val="heading 2"/>
    <w:basedOn w:val="Heading"/>
    <w:qFormat/>
    <w:pPr>
      <w:spacing w:before="240" w:after="80"/>
    </w:pPr>
    <w:rPr>
      <w:rFonts w:ascii="Calibri" w:hAnsi="Calibri" w:eastAsia="Calibri" w:cs="Calibri"/>
      <w:b/>
      <w:bCs/>
      <w:color w:val="1B2A5E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LibreOffice/26.2.2.2$Linux_X86_64 LibreOffice_project/620$Build-2</Application>
  <AppVersion>15.0000</AppVersion>
  <Pages>12</Pages>
  <Words>2252</Words>
  <Characters>13974</Characters>
  <CharactersWithSpaces>15927</CharactersWithSpaces>
  <Paragraphs>277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2026-07-07T03:51:45Z</dcterms:created>
  <dc:creator>Un-named</dc:creator>
  <dc:description/>
  <dc:language>en-IN</dc:language>
  <cp:lastModifiedBy/>
  <dcterms:modified xsi:type="dcterms:W3CDTF">2026-07-07T09:49:28Z</dcterms:modified>
  <cp:revision>2</cp:revision>
  <dc:subject/>
  <dc:title/>
</cp:coreProperties>
</file>